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124C" w14:textId="348305A7" w:rsidR="00C57816" w:rsidRDefault="001F08BF" w:rsidP="00C57816">
      <w:pPr>
        <w:spacing w:after="0" w:line="276" w:lineRule="auto"/>
        <w:jc w:val="both"/>
        <w:rPr>
          <w:rFonts w:ascii="Calibri" w:hAnsi="Calibri" w:cs="Calibri"/>
          <w:b/>
        </w:rPr>
      </w:pPr>
      <w:r w:rsidRPr="00EE19EA">
        <w:rPr>
          <w:rFonts w:ascii="Calibri" w:hAnsi="Calibri" w:cs="Calibri"/>
          <w:b/>
        </w:rPr>
        <w:t xml:space="preserve">RECOMENDACIÓN QUE EMITE EL CONSEJO CONSULTIVO DEL INSTITUTO FEDERAL DE TELECOMUNICACIONES </w:t>
      </w:r>
      <w:r w:rsidR="000E6201" w:rsidRPr="00EE19EA">
        <w:rPr>
          <w:rFonts w:ascii="Calibri" w:hAnsi="Calibri" w:cs="Calibri"/>
          <w:b/>
        </w:rPr>
        <w:t xml:space="preserve">(INSTITUTO) RELACIONADA CON EL IMPULSO DE LA CREACIÓN DE UN COMITÉ TÉCNICO DE POLÍTICA </w:t>
      </w:r>
      <w:r w:rsidR="006165FA" w:rsidRPr="00EE19EA">
        <w:rPr>
          <w:rFonts w:ascii="Calibri" w:hAnsi="Calibri" w:cs="Calibri"/>
          <w:b/>
        </w:rPr>
        <w:t>PARA EL ENTORNO DIGITAL</w:t>
      </w:r>
    </w:p>
    <w:sdt>
      <w:sdtPr>
        <w:rPr>
          <w:rFonts w:asciiTheme="minorHAnsi" w:eastAsiaTheme="minorEastAsia" w:hAnsiTheme="minorHAnsi" w:cstheme="minorBidi"/>
          <w:color w:val="auto"/>
          <w:sz w:val="24"/>
          <w:szCs w:val="24"/>
          <w:lang w:val="es-ES" w:eastAsia="en-US"/>
        </w:rPr>
        <w:id w:val="-854647172"/>
        <w:docPartObj>
          <w:docPartGallery w:val="Table of Contents"/>
          <w:docPartUnique/>
        </w:docPartObj>
      </w:sdtPr>
      <w:sdtEndPr>
        <w:rPr>
          <w:b/>
          <w:bCs/>
        </w:rPr>
      </w:sdtEndPr>
      <w:sdtContent>
        <w:p w14:paraId="62F7E587" w14:textId="0482936F" w:rsidR="00C57816" w:rsidRDefault="00C57816" w:rsidP="00C57816">
          <w:pPr>
            <w:pStyle w:val="TtuloTDC"/>
            <w:spacing w:line="276" w:lineRule="auto"/>
          </w:pPr>
        </w:p>
        <w:p w14:paraId="6292BC84" w14:textId="33A11F52" w:rsidR="00C57816" w:rsidRPr="00AF634B" w:rsidRDefault="00C57816" w:rsidP="00C57816">
          <w:pPr>
            <w:pStyle w:val="TDC1"/>
            <w:tabs>
              <w:tab w:val="left" w:pos="440"/>
              <w:tab w:val="right" w:leader="dot" w:pos="9912"/>
            </w:tabs>
            <w:spacing w:line="276" w:lineRule="auto"/>
            <w:rPr>
              <w:rFonts w:ascii="Calibri" w:hAnsi="Calibri" w:cs="Calibri"/>
              <w:noProof/>
            </w:rPr>
          </w:pPr>
          <w:r>
            <w:fldChar w:fldCharType="begin"/>
          </w:r>
          <w:r>
            <w:instrText xml:space="preserve"> TOC \o "1-3" \h \z \u </w:instrText>
          </w:r>
          <w:r>
            <w:fldChar w:fldCharType="separate"/>
          </w:r>
          <w:hyperlink w:anchor="_Toc22047569" w:history="1">
            <w:r w:rsidRPr="00AF634B">
              <w:rPr>
                <w:rStyle w:val="Hipervnculo"/>
                <w:rFonts w:ascii="Calibri" w:hAnsi="Calibri" w:cs="Calibri"/>
                <w:b/>
                <w:bCs/>
                <w:noProof/>
                <w:lang w:val="es-ES"/>
              </w:rPr>
              <w:t>I.</w:t>
            </w:r>
            <w:r w:rsidRPr="00AF634B">
              <w:rPr>
                <w:rFonts w:ascii="Calibri" w:hAnsi="Calibri" w:cs="Calibri"/>
                <w:noProof/>
              </w:rPr>
              <w:tab/>
            </w:r>
            <w:r w:rsidRPr="00AF634B">
              <w:rPr>
                <w:rStyle w:val="Hipervnculo"/>
                <w:rFonts w:ascii="Calibri" w:hAnsi="Calibri" w:cs="Calibri"/>
                <w:b/>
                <w:bCs/>
                <w:noProof/>
                <w:lang w:val="es-ES"/>
              </w:rPr>
              <w:t>Antecedentes</w:t>
            </w:r>
            <w:r w:rsidRPr="00AF634B">
              <w:rPr>
                <w:rFonts w:ascii="Calibri" w:hAnsi="Calibri" w:cs="Calibri"/>
                <w:noProof/>
                <w:webHidden/>
              </w:rPr>
              <w:tab/>
            </w:r>
            <w:r w:rsidRPr="00AF634B">
              <w:rPr>
                <w:rFonts w:ascii="Calibri" w:hAnsi="Calibri" w:cs="Calibri"/>
                <w:noProof/>
                <w:webHidden/>
              </w:rPr>
              <w:fldChar w:fldCharType="begin"/>
            </w:r>
            <w:r w:rsidRPr="00AF634B">
              <w:rPr>
                <w:rFonts w:ascii="Calibri" w:hAnsi="Calibri" w:cs="Calibri"/>
                <w:noProof/>
                <w:webHidden/>
              </w:rPr>
              <w:instrText xml:space="preserve"> PAGEREF _Toc22047569 \h </w:instrText>
            </w:r>
            <w:r w:rsidRPr="00AF634B">
              <w:rPr>
                <w:rFonts w:ascii="Calibri" w:hAnsi="Calibri" w:cs="Calibri"/>
                <w:noProof/>
                <w:webHidden/>
              </w:rPr>
            </w:r>
            <w:r w:rsidRPr="00AF634B">
              <w:rPr>
                <w:rFonts w:ascii="Calibri" w:hAnsi="Calibri" w:cs="Calibri"/>
                <w:noProof/>
                <w:webHidden/>
              </w:rPr>
              <w:fldChar w:fldCharType="separate"/>
            </w:r>
            <w:r w:rsidR="00507880" w:rsidRPr="00AF634B">
              <w:rPr>
                <w:rFonts w:ascii="Calibri" w:hAnsi="Calibri" w:cs="Calibri"/>
                <w:noProof/>
                <w:webHidden/>
              </w:rPr>
              <w:t>1</w:t>
            </w:r>
            <w:r w:rsidRPr="00AF634B">
              <w:rPr>
                <w:rFonts w:ascii="Calibri" w:hAnsi="Calibri" w:cs="Calibri"/>
                <w:noProof/>
                <w:webHidden/>
              </w:rPr>
              <w:fldChar w:fldCharType="end"/>
            </w:r>
          </w:hyperlink>
        </w:p>
        <w:p w14:paraId="3256EF97" w14:textId="79399D3A" w:rsidR="00C57816" w:rsidRPr="00AF634B" w:rsidRDefault="00130D0F" w:rsidP="00C57816">
          <w:pPr>
            <w:pStyle w:val="TDC1"/>
            <w:tabs>
              <w:tab w:val="left" w:pos="440"/>
              <w:tab w:val="right" w:leader="dot" w:pos="9912"/>
            </w:tabs>
            <w:spacing w:line="276" w:lineRule="auto"/>
            <w:rPr>
              <w:rFonts w:ascii="Calibri" w:hAnsi="Calibri" w:cs="Calibri"/>
              <w:noProof/>
            </w:rPr>
          </w:pPr>
          <w:hyperlink w:anchor="_Toc22047570" w:history="1">
            <w:r w:rsidR="00C57816" w:rsidRPr="00AF634B">
              <w:rPr>
                <w:rStyle w:val="Hipervnculo"/>
                <w:rFonts w:ascii="Calibri" w:hAnsi="Calibri" w:cs="Calibri"/>
                <w:b/>
                <w:bCs/>
                <w:noProof/>
                <w:lang w:val="es-ES"/>
              </w:rPr>
              <w:t>II.</w:t>
            </w:r>
            <w:r w:rsidR="00C57816" w:rsidRPr="00AF634B">
              <w:rPr>
                <w:rFonts w:ascii="Calibri" w:hAnsi="Calibri" w:cs="Calibri"/>
                <w:noProof/>
              </w:rPr>
              <w:tab/>
            </w:r>
            <w:r w:rsidR="00C57816" w:rsidRPr="00AF634B">
              <w:rPr>
                <w:rStyle w:val="Hipervnculo"/>
                <w:rFonts w:ascii="Calibri" w:hAnsi="Calibri" w:cs="Calibri"/>
                <w:b/>
                <w:bCs/>
                <w:noProof/>
                <w:lang w:val="es-ES"/>
              </w:rPr>
              <w:t>Recomendación</w:t>
            </w:r>
            <w:r w:rsidR="00C57816" w:rsidRPr="00AF634B">
              <w:rPr>
                <w:rFonts w:ascii="Calibri" w:hAnsi="Calibri" w:cs="Calibri"/>
                <w:noProof/>
                <w:webHidden/>
              </w:rPr>
              <w:tab/>
            </w:r>
            <w:r w:rsidR="00C57816" w:rsidRPr="00AF634B">
              <w:rPr>
                <w:rFonts w:ascii="Calibri" w:hAnsi="Calibri" w:cs="Calibri"/>
                <w:noProof/>
                <w:webHidden/>
              </w:rPr>
              <w:fldChar w:fldCharType="begin"/>
            </w:r>
            <w:r w:rsidR="00C57816" w:rsidRPr="00AF634B">
              <w:rPr>
                <w:rFonts w:ascii="Calibri" w:hAnsi="Calibri" w:cs="Calibri"/>
                <w:noProof/>
                <w:webHidden/>
              </w:rPr>
              <w:instrText xml:space="preserve"> PAGEREF _Toc22047570 \h </w:instrText>
            </w:r>
            <w:r w:rsidR="00C57816" w:rsidRPr="00AF634B">
              <w:rPr>
                <w:rFonts w:ascii="Calibri" w:hAnsi="Calibri" w:cs="Calibri"/>
                <w:noProof/>
                <w:webHidden/>
              </w:rPr>
            </w:r>
            <w:r w:rsidR="00C57816" w:rsidRPr="00AF634B">
              <w:rPr>
                <w:rFonts w:ascii="Calibri" w:hAnsi="Calibri" w:cs="Calibri"/>
                <w:noProof/>
                <w:webHidden/>
              </w:rPr>
              <w:fldChar w:fldCharType="separate"/>
            </w:r>
            <w:r w:rsidR="00507880" w:rsidRPr="00AF634B">
              <w:rPr>
                <w:rFonts w:ascii="Calibri" w:hAnsi="Calibri" w:cs="Calibri"/>
                <w:noProof/>
                <w:webHidden/>
              </w:rPr>
              <w:t>4</w:t>
            </w:r>
            <w:r w:rsidR="00C57816" w:rsidRPr="00AF634B">
              <w:rPr>
                <w:rFonts w:ascii="Calibri" w:hAnsi="Calibri" w:cs="Calibri"/>
                <w:noProof/>
                <w:webHidden/>
              </w:rPr>
              <w:fldChar w:fldCharType="end"/>
            </w:r>
          </w:hyperlink>
        </w:p>
        <w:p w14:paraId="22C35168" w14:textId="3B2F7BAA" w:rsidR="00C57816" w:rsidRPr="00C57816" w:rsidRDefault="00C57816" w:rsidP="00C57816">
          <w:pPr>
            <w:spacing w:line="276" w:lineRule="auto"/>
          </w:pPr>
          <w:r>
            <w:rPr>
              <w:b/>
              <w:bCs/>
              <w:lang w:val="es-ES"/>
            </w:rPr>
            <w:fldChar w:fldCharType="end"/>
          </w:r>
        </w:p>
      </w:sdtContent>
    </w:sdt>
    <w:p w14:paraId="18F3BEBE" w14:textId="240CBF0B" w:rsidR="00CF388E" w:rsidRPr="00EE19EA" w:rsidRDefault="00A744F1" w:rsidP="00C57816">
      <w:pPr>
        <w:pStyle w:val="Prrafodelista"/>
        <w:numPr>
          <w:ilvl w:val="0"/>
          <w:numId w:val="20"/>
        </w:numPr>
        <w:spacing w:after="0" w:line="276" w:lineRule="auto"/>
        <w:ind w:left="567" w:hanging="567"/>
        <w:outlineLvl w:val="0"/>
        <w:rPr>
          <w:rFonts w:ascii="Calibri" w:hAnsi="Calibri" w:cs="Calibri"/>
          <w:b/>
          <w:bCs/>
          <w:u w:val="single"/>
          <w:lang w:val="es-ES"/>
        </w:rPr>
      </w:pPr>
      <w:bookmarkStart w:id="0" w:name="_Toc22047569"/>
      <w:r w:rsidRPr="00EE19EA">
        <w:rPr>
          <w:rFonts w:ascii="Calibri" w:hAnsi="Calibri" w:cs="Calibri"/>
          <w:b/>
          <w:bCs/>
          <w:u w:val="single"/>
          <w:lang w:val="es-ES"/>
        </w:rPr>
        <w:t>Antecedentes</w:t>
      </w:r>
      <w:bookmarkEnd w:id="0"/>
    </w:p>
    <w:p w14:paraId="63099E5E" w14:textId="77777777" w:rsidR="00B41B4B" w:rsidRPr="00EE19EA" w:rsidRDefault="00B41B4B" w:rsidP="00C57816">
      <w:pPr>
        <w:pStyle w:val="Prrafodelista"/>
        <w:spacing w:after="0" w:line="276" w:lineRule="auto"/>
        <w:ind w:left="567"/>
        <w:rPr>
          <w:rFonts w:ascii="Calibri" w:hAnsi="Calibri" w:cs="Calibri"/>
          <w:b/>
          <w:bCs/>
          <w:u w:val="single"/>
          <w:lang w:val="es-ES"/>
        </w:rPr>
      </w:pPr>
    </w:p>
    <w:p w14:paraId="6B9E4AFC" w14:textId="78E967FF" w:rsidR="000B72C9" w:rsidRPr="00EE19EA" w:rsidRDefault="00B54274"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 xml:space="preserve">El </w:t>
      </w:r>
      <w:r w:rsidR="00A744F1" w:rsidRPr="00EE19EA">
        <w:rPr>
          <w:rFonts w:ascii="Calibri" w:hAnsi="Calibri" w:cs="Calibri"/>
        </w:rPr>
        <w:t xml:space="preserve">pasado </w:t>
      </w:r>
      <w:r w:rsidR="00026E43" w:rsidRPr="00EE19EA">
        <w:rPr>
          <w:rFonts w:ascii="Calibri" w:hAnsi="Calibri" w:cs="Calibri"/>
        </w:rPr>
        <w:t>8 de agosto</w:t>
      </w:r>
      <w:r w:rsidR="00A744F1" w:rsidRPr="00EE19EA">
        <w:rPr>
          <w:rFonts w:ascii="Calibri" w:hAnsi="Calibri" w:cs="Calibri"/>
        </w:rPr>
        <w:t xml:space="preserve"> este Consejo Consultivo emitió una recomendación</w:t>
      </w:r>
      <w:r w:rsidR="000E6201" w:rsidRPr="00EE19EA">
        <w:rPr>
          <w:rStyle w:val="Refdenotaalpie"/>
          <w:rFonts w:ascii="Calibri" w:hAnsi="Calibri" w:cs="Calibri"/>
        </w:rPr>
        <w:footnoteReference w:id="1"/>
      </w:r>
      <w:r w:rsidR="00A744F1" w:rsidRPr="00EE19EA">
        <w:rPr>
          <w:rFonts w:ascii="Calibri" w:hAnsi="Calibri" w:cs="Calibri"/>
        </w:rPr>
        <w:t xml:space="preserve"> en relación con las acciones que el </w:t>
      </w:r>
      <w:r w:rsidR="000E6201" w:rsidRPr="00EE19EA">
        <w:rPr>
          <w:rFonts w:ascii="Calibri" w:hAnsi="Calibri" w:cs="Calibri"/>
        </w:rPr>
        <w:t xml:space="preserve">Consejo Consultivo considera que el </w:t>
      </w:r>
      <w:r w:rsidR="00A744F1" w:rsidRPr="00EE19EA">
        <w:rPr>
          <w:rFonts w:ascii="Calibri" w:hAnsi="Calibri" w:cs="Calibri"/>
        </w:rPr>
        <w:t>Instituto</w:t>
      </w:r>
      <w:r w:rsidR="000E6201" w:rsidRPr="00EE19EA">
        <w:rPr>
          <w:rFonts w:ascii="Calibri" w:hAnsi="Calibri" w:cs="Calibri"/>
        </w:rPr>
        <w:t xml:space="preserve"> podría explorar para el impulso, definición e implementación de</w:t>
      </w:r>
      <w:r w:rsidR="00E22190" w:rsidRPr="00EE19EA">
        <w:rPr>
          <w:rFonts w:ascii="Calibri" w:hAnsi="Calibri" w:cs="Calibri"/>
        </w:rPr>
        <w:t xml:space="preserve"> una agenda integral para la promoción de la innovación y competencia en el entorno digital (Agenda Integral de Promoción).</w:t>
      </w:r>
    </w:p>
    <w:p w14:paraId="076FAC68" w14:textId="77777777" w:rsidR="00E22190" w:rsidRPr="00EE19EA" w:rsidRDefault="00E22190" w:rsidP="00C57816">
      <w:pPr>
        <w:pStyle w:val="Prrafodelista"/>
        <w:tabs>
          <w:tab w:val="left" w:pos="8505"/>
        </w:tabs>
        <w:spacing w:after="0" w:line="276" w:lineRule="auto"/>
        <w:ind w:left="567" w:right="333"/>
        <w:jc w:val="both"/>
        <w:rPr>
          <w:rFonts w:ascii="Calibri" w:hAnsi="Calibri" w:cs="Calibri"/>
        </w:rPr>
      </w:pPr>
    </w:p>
    <w:p w14:paraId="2E0D3A32" w14:textId="5DF24A0A" w:rsidR="003B0EFB" w:rsidRPr="00EE19EA" w:rsidRDefault="00E22190"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 xml:space="preserve">En la referida recomendación, el Consejo Consultivo </w:t>
      </w:r>
      <w:r w:rsidR="00CA03AF" w:rsidRPr="00EE19EA">
        <w:rPr>
          <w:rFonts w:ascii="Calibri" w:hAnsi="Calibri" w:cs="Calibri"/>
        </w:rPr>
        <w:t>incluye una explicación de los motivos y con</w:t>
      </w:r>
      <w:r w:rsidR="00AF634B">
        <w:rPr>
          <w:rFonts w:ascii="Calibri" w:hAnsi="Calibri" w:cs="Calibri"/>
        </w:rPr>
        <w:t>sideraciones en las que apoya la misma</w:t>
      </w:r>
      <w:r w:rsidR="00CA03AF" w:rsidRPr="00EE19EA">
        <w:rPr>
          <w:rFonts w:ascii="Calibri" w:hAnsi="Calibri" w:cs="Calibri"/>
        </w:rPr>
        <w:t>. A</w:t>
      </w:r>
      <w:r w:rsidRPr="00EE19EA">
        <w:rPr>
          <w:rFonts w:ascii="Calibri" w:hAnsi="Calibri" w:cs="Calibri"/>
        </w:rPr>
        <w:t>simismo, incluyó consideraciones (i) respecto a los elementos básicos del entorno digital y la importancia de una visión integral</w:t>
      </w:r>
      <w:r w:rsidR="00CA03AF" w:rsidRPr="00EE19EA">
        <w:rPr>
          <w:rFonts w:ascii="Calibri" w:hAnsi="Calibri" w:cs="Calibri"/>
        </w:rPr>
        <w:t>, incluyente y plural</w:t>
      </w:r>
      <w:r w:rsidRPr="00EE19EA">
        <w:rPr>
          <w:rFonts w:ascii="Calibri" w:hAnsi="Calibri" w:cs="Calibri"/>
        </w:rPr>
        <w:t>; y (ii) sobre las facultades legales del Instituto.</w:t>
      </w:r>
    </w:p>
    <w:p w14:paraId="6AA53C82" w14:textId="0FCE666C" w:rsidR="003B0EFB" w:rsidRPr="00EE19EA" w:rsidRDefault="003B0EFB" w:rsidP="00C57816">
      <w:pPr>
        <w:pStyle w:val="Prrafodelista"/>
        <w:tabs>
          <w:tab w:val="left" w:pos="8505"/>
        </w:tabs>
        <w:spacing w:after="0" w:line="276" w:lineRule="auto"/>
        <w:ind w:left="567" w:right="333"/>
        <w:jc w:val="both"/>
        <w:rPr>
          <w:rFonts w:ascii="Calibri" w:hAnsi="Calibri" w:cs="Calibri"/>
        </w:rPr>
      </w:pPr>
    </w:p>
    <w:p w14:paraId="19BAD694" w14:textId="1528225C" w:rsidR="00895106" w:rsidRPr="00EE19EA" w:rsidRDefault="00046A83"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Igualmente</w:t>
      </w:r>
      <w:r w:rsidR="00E22190" w:rsidRPr="00EE19EA">
        <w:rPr>
          <w:rFonts w:ascii="Calibri" w:hAnsi="Calibri" w:cs="Calibri"/>
        </w:rPr>
        <w:t xml:space="preserve">, dentro de las acciones propuestas, el Consejo </w:t>
      </w:r>
      <w:r w:rsidR="00CA03AF" w:rsidRPr="00EE19EA">
        <w:rPr>
          <w:rFonts w:ascii="Calibri" w:hAnsi="Calibri" w:cs="Calibri"/>
        </w:rPr>
        <w:t xml:space="preserve">propuso </w:t>
      </w:r>
      <w:r w:rsidR="00895106" w:rsidRPr="00EE19EA">
        <w:rPr>
          <w:rFonts w:ascii="Calibri" w:hAnsi="Calibri" w:cs="Calibri"/>
        </w:rPr>
        <w:t>evaluar la conveniencia de “[i]mpulsar l</w:t>
      </w:r>
      <w:r w:rsidR="00895106" w:rsidRPr="00EE19EA">
        <w:rPr>
          <w:rFonts w:ascii="Calibri" w:hAnsi="Calibri" w:cs="Calibri"/>
          <w:b/>
          <w:bCs/>
        </w:rPr>
        <w:t>a creación de un Comité Técnico de Política para el Entorno Digital</w:t>
      </w:r>
      <w:r w:rsidR="00895106" w:rsidRPr="00EE19EA">
        <w:rPr>
          <w:rFonts w:ascii="Calibri" w:hAnsi="Calibri" w:cs="Calibri"/>
        </w:rPr>
        <w:t xml:space="preserve"> como un órgano especializado y plural de naturaleza consultiva que permita la interacción efectiva entre el Instituto, otros órganos públicos con competencia en temas relevantes para la regulación y promoción del entorno digital, tanto nacionales como internacionales; así como representantes de la industria, la academia y la sociedad civil. La estructura orgánica y operativa del Comité Técnico en Materia de Espectro Radioeléctrico (CETER)</w:t>
      </w:r>
      <w:r w:rsidR="00895106" w:rsidRPr="00EE19EA">
        <w:rPr>
          <w:rStyle w:val="Refdenotaalpie"/>
          <w:rFonts w:ascii="Calibri" w:hAnsi="Calibri" w:cs="Calibri"/>
        </w:rPr>
        <w:footnoteReference w:id="2"/>
      </w:r>
      <w:r w:rsidR="00895106" w:rsidRPr="00EE19EA">
        <w:rPr>
          <w:rStyle w:val="Refdenotaalpie"/>
          <w:rFonts w:ascii="Calibri" w:hAnsi="Calibri" w:cs="Calibri"/>
        </w:rPr>
        <w:t xml:space="preserve"> </w:t>
      </w:r>
      <w:r w:rsidR="00895106" w:rsidRPr="00EE19EA">
        <w:rPr>
          <w:rFonts w:ascii="Calibri" w:hAnsi="Calibri" w:cs="Calibri"/>
        </w:rPr>
        <w:t>podría considerarse como una experiencia al interior del Instituto compatible con esta propuesta.”</w:t>
      </w:r>
    </w:p>
    <w:p w14:paraId="1B87729B" w14:textId="77777777" w:rsidR="000D6371" w:rsidRPr="00EE19EA" w:rsidRDefault="000D6371" w:rsidP="00C57816">
      <w:pPr>
        <w:pStyle w:val="Prrafodelista"/>
        <w:spacing w:after="0" w:line="276" w:lineRule="auto"/>
        <w:rPr>
          <w:rFonts w:ascii="Calibri" w:hAnsi="Calibri" w:cs="Calibri"/>
          <w:lang w:val="es-ES"/>
        </w:rPr>
      </w:pPr>
    </w:p>
    <w:p w14:paraId="22B52CE1" w14:textId="2592F6F4" w:rsidR="000D6371" w:rsidRPr="00EE19EA" w:rsidRDefault="000D6371"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lastRenderedPageBreak/>
        <w:t>Inspirados en la experiencia del CETER</w:t>
      </w:r>
      <w:r w:rsidR="00F65869" w:rsidRPr="00EE19EA">
        <w:rPr>
          <w:rFonts w:ascii="Calibri" w:hAnsi="Calibri" w:cs="Calibri"/>
          <w:lang w:val="es-ES"/>
        </w:rPr>
        <w:t>,</w:t>
      </w:r>
      <w:r w:rsidRPr="00EE19EA">
        <w:rPr>
          <w:rFonts w:ascii="Calibri" w:hAnsi="Calibri" w:cs="Calibri"/>
          <w:lang w:val="es-ES"/>
        </w:rPr>
        <w:t xml:space="preserve"> el Consejo Consultivo pone a consideración del Instituto </w:t>
      </w:r>
      <w:r w:rsidR="00D028F1" w:rsidRPr="00EE19EA">
        <w:rPr>
          <w:rFonts w:ascii="Calibri" w:hAnsi="Calibri" w:cs="Calibri"/>
          <w:lang w:val="es-ES"/>
        </w:rPr>
        <w:t xml:space="preserve">aspectos relacionados con el objeto, </w:t>
      </w:r>
      <w:r w:rsidR="00314401" w:rsidRPr="00EE19EA">
        <w:rPr>
          <w:rFonts w:ascii="Calibri" w:hAnsi="Calibri" w:cs="Calibri"/>
          <w:lang w:val="es-ES"/>
        </w:rPr>
        <w:t xml:space="preserve">la </w:t>
      </w:r>
      <w:r w:rsidR="00D028F1" w:rsidRPr="00EE19EA">
        <w:rPr>
          <w:rFonts w:ascii="Calibri" w:hAnsi="Calibri" w:cs="Calibri"/>
          <w:lang w:val="es-ES"/>
        </w:rPr>
        <w:t xml:space="preserve">estructura y </w:t>
      </w:r>
      <w:r w:rsidR="00314401" w:rsidRPr="00EE19EA">
        <w:rPr>
          <w:rFonts w:ascii="Calibri" w:hAnsi="Calibri" w:cs="Calibri"/>
          <w:lang w:val="es-ES"/>
        </w:rPr>
        <w:t xml:space="preserve">el </w:t>
      </w:r>
      <w:r w:rsidR="00D028F1" w:rsidRPr="00EE19EA">
        <w:rPr>
          <w:rFonts w:ascii="Calibri" w:hAnsi="Calibri" w:cs="Calibri"/>
          <w:lang w:val="es-ES"/>
        </w:rPr>
        <w:t xml:space="preserve">gobierno </w:t>
      </w:r>
      <w:r w:rsidR="003865FE" w:rsidRPr="00EE19EA">
        <w:rPr>
          <w:rFonts w:ascii="Calibri" w:hAnsi="Calibri" w:cs="Calibri"/>
          <w:lang w:val="es-ES"/>
        </w:rPr>
        <w:t xml:space="preserve">corporativo </w:t>
      </w:r>
      <w:r w:rsidR="00314401" w:rsidRPr="00EE19EA">
        <w:rPr>
          <w:rFonts w:ascii="Calibri" w:hAnsi="Calibri" w:cs="Calibri"/>
          <w:lang w:val="es-ES"/>
        </w:rPr>
        <w:t xml:space="preserve">del </w:t>
      </w:r>
      <w:r w:rsidRPr="00EE19EA">
        <w:rPr>
          <w:rFonts w:ascii="Calibri" w:hAnsi="Calibri" w:cs="Calibri"/>
          <w:lang w:val="es-ES"/>
        </w:rPr>
        <w:t xml:space="preserve">Comité Técnico de Política </w:t>
      </w:r>
      <w:r w:rsidR="006165FA" w:rsidRPr="00EE19EA">
        <w:rPr>
          <w:rFonts w:ascii="Calibri" w:hAnsi="Calibri" w:cs="Calibri"/>
          <w:lang w:val="es-ES"/>
        </w:rPr>
        <w:t>para el Entorno Digital</w:t>
      </w:r>
      <w:r w:rsidR="00D028F1" w:rsidRPr="00EE19EA">
        <w:rPr>
          <w:rFonts w:ascii="Calibri" w:hAnsi="Calibri" w:cs="Calibri"/>
          <w:lang w:val="es-ES"/>
        </w:rPr>
        <w:t xml:space="preserve"> (</w:t>
      </w:r>
      <w:r w:rsidR="006165FA" w:rsidRPr="00EE19EA">
        <w:rPr>
          <w:rFonts w:ascii="Calibri" w:hAnsi="Calibri" w:cs="Calibri"/>
          <w:lang w:val="es-ES"/>
        </w:rPr>
        <w:t>COTEPEDI</w:t>
      </w:r>
      <w:r w:rsidR="003865FE" w:rsidRPr="00EE19EA">
        <w:rPr>
          <w:rFonts w:ascii="Calibri" w:hAnsi="Calibri" w:cs="Calibri"/>
          <w:lang w:val="es-ES"/>
        </w:rPr>
        <w:t>, Comité</w:t>
      </w:r>
      <w:r w:rsidR="00D028F1" w:rsidRPr="00EE19EA">
        <w:rPr>
          <w:rFonts w:ascii="Calibri" w:hAnsi="Calibri" w:cs="Calibri"/>
          <w:lang w:val="es-ES"/>
        </w:rPr>
        <w:t>).</w:t>
      </w:r>
    </w:p>
    <w:p w14:paraId="1532F2C0" w14:textId="77777777" w:rsidR="00D028F1" w:rsidRPr="00EE19EA" w:rsidRDefault="00D028F1" w:rsidP="00C57816">
      <w:pPr>
        <w:pStyle w:val="Prrafodelista"/>
        <w:spacing w:after="0" w:line="276" w:lineRule="auto"/>
        <w:rPr>
          <w:rFonts w:ascii="Calibri" w:hAnsi="Calibri" w:cs="Calibri"/>
          <w:lang w:val="es-ES"/>
        </w:rPr>
      </w:pPr>
    </w:p>
    <w:p w14:paraId="6F66EEFF" w14:textId="672363F7" w:rsidR="00C54B6A" w:rsidRPr="00EE19EA" w:rsidRDefault="00D028F1"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 xml:space="preserve">Asimismo, el Consejo Consultivo considera que los fundamentos legales incluidos en la Recomendación General son útiles para fundar la creación del </w:t>
      </w:r>
      <w:r w:rsidR="0035642D" w:rsidRPr="00EE19EA">
        <w:rPr>
          <w:rFonts w:ascii="Calibri" w:hAnsi="Calibri" w:cs="Calibri"/>
        </w:rPr>
        <w:t>COTEPEDI</w:t>
      </w:r>
      <w:r w:rsidRPr="00EE19EA">
        <w:rPr>
          <w:rFonts w:ascii="Calibri" w:hAnsi="Calibri" w:cs="Calibri"/>
        </w:rPr>
        <w:t>. A manera de abundar sobre las facultades de</w:t>
      </w:r>
      <w:r w:rsidR="00C54B6A" w:rsidRPr="00EE19EA">
        <w:rPr>
          <w:rFonts w:ascii="Calibri" w:hAnsi="Calibri" w:cs="Calibri"/>
        </w:rPr>
        <w:t>l Instituto para esto</w:t>
      </w:r>
      <w:r w:rsidR="00AF634B">
        <w:rPr>
          <w:rFonts w:ascii="Calibri" w:hAnsi="Calibri" w:cs="Calibri"/>
        </w:rPr>
        <w:t>s</w:t>
      </w:r>
      <w:r w:rsidR="00C54B6A" w:rsidRPr="00EE19EA">
        <w:rPr>
          <w:rFonts w:ascii="Calibri" w:hAnsi="Calibri" w:cs="Calibri"/>
        </w:rPr>
        <w:t xml:space="preserve"> efectos, el Consejo Consultivo nota que la creación de comités en el ámbito de las atribuciones del Instituto es una facultad indelegable del Pleno. Ello con fundamento en el artículo 6, fracción IV del Estatuto Orgánico del Instituto Federal de Telecomunicaciones</w:t>
      </w:r>
      <w:r w:rsidR="00C83ECA" w:rsidRPr="00EE19EA">
        <w:rPr>
          <w:rFonts w:ascii="Calibri" w:hAnsi="Calibri" w:cs="Calibri"/>
        </w:rPr>
        <w:t>.</w:t>
      </w:r>
    </w:p>
    <w:p w14:paraId="571D124B" w14:textId="77777777" w:rsidR="005577DE" w:rsidRPr="00EE19EA" w:rsidRDefault="005577DE" w:rsidP="00C57816">
      <w:pPr>
        <w:pStyle w:val="Prrafodelista"/>
        <w:spacing w:after="0" w:line="276" w:lineRule="auto"/>
        <w:rPr>
          <w:rFonts w:ascii="Calibri" w:hAnsi="Calibri" w:cs="Calibri"/>
        </w:rPr>
      </w:pPr>
    </w:p>
    <w:p w14:paraId="7A0E3A62" w14:textId="1204A71A" w:rsidR="00C54B6A" w:rsidRPr="00EE19EA" w:rsidRDefault="00C83ECA"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 xml:space="preserve">Por otra parte, es relevante subrayar que </w:t>
      </w:r>
      <w:r w:rsidR="00C54B6A" w:rsidRPr="00EE19EA">
        <w:rPr>
          <w:rFonts w:ascii="Calibri" w:hAnsi="Calibri" w:cs="Calibri"/>
        </w:rPr>
        <w:t xml:space="preserve">el Poder Judicial </w:t>
      </w:r>
      <w:r w:rsidRPr="00EE19EA">
        <w:rPr>
          <w:rFonts w:ascii="Calibri" w:hAnsi="Calibri" w:cs="Calibri"/>
        </w:rPr>
        <w:t xml:space="preserve">ha reconocido que la naturaleza jurídica de los órganos constitucionales </w:t>
      </w:r>
      <w:r w:rsidR="005577DE" w:rsidRPr="00EE19EA">
        <w:rPr>
          <w:rFonts w:ascii="Calibri" w:hAnsi="Calibri" w:cs="Calibri"/>
        </w:rPr>
        <w:t>-</w:t>
      </w:r>
      <w:r w:rsidRPr="00EE19EA">
        <w:rPr>
          <w:rFonts w:ascii="Calibri" w:hAnsi="Calibri" w:cs="Calibri"/>
        </w:rPr>
        <w:t>como es el Instituto</w:t>
      </w:r>
      <w:r w:rsidR="005577DE" w:rsidRPr="00EE19EA">
        <w:rPr>
          <w:rFonts w:ascii="Calibri" w:hAnsi="Calibri" w:cs="Calibri"/>
        </w:rPr>
        <w:t>-</w:t>
      </w:r>
      <w:r w:rsidRPr="00EE19EA">
        <w:rPr>
          <w:rFonts w:ascii="Calibri" w:hAnsi="Calibri" w:cs="Calibri"/>
        </w:rPr>
        <w:t xml:space="preserve"> permit</w:t>
      </w:r>
      <w:r w:rsidR="005577DE" w:rsidRPr="00EE19EA">
        <w:rPr>
          <w:rFonts w:ascii="Calibri" w:hAnsi="Calibri" w:cs="Calibri"/>
        </w:rPr>
        <w:t>e</w:t>
      </w:r>
      <w:r w:rsidRPr="00EE19EA">
        <w:rPr>
          <w:rFonts w:ascii="Calibri" w:hAnsi="Calibri" w:cs="Calibri"/>
        </w:rPr>
        <w:t xml:space="preserve"> que </w:t>
      </w:r>
      <w:r w:rsidR="005577DE" w:rsidRPr="00EE19EA">
        <w:rPr>
          <w:rFonts w:ascii="Calibri" w:hAnsi="Calibri" w:cs="Calibri"/>
        </w:rPr>
        <w:t xml:space="preserve">éstos </w:t>
      </w:r>
      <w:r w:rsidR="00C54B6A" w:rsidRPr="00EE19EA">
        <w:rPr>
          <w:rFonts w:ascii="Calibri" w:hAnsi="Calibri" w:cs="Calibri"/>
        </w:rPr>
        <w:t>atien</w:t>
      </w:r>
      <w:r w:rsidR="00AF634B">
        <w:rPr>
          <w:rFonts w:ascii="Calibri" w:hAnsi="Calibri" w:cs="Calibri"/>
        </w:rPr>
        <w:t>dan funciones coyunturales del E</w:t>
      </w:r>
      <w:r w:rsidR="00C54B6A" w:rsidRPr="00EE19EA">
        <w:rPr>
          <w:rFonts w:ascii="Calibri" w:hAnsi="Calibri" w:cs="Calibri"/>
        </w:rPr>
        <w:t>stado de forma eficaz en beneficio de la sociedad.</w:t>
      </w:r>
    </w:p>
    <w:p w14:paraId="0EE2AF3A" w14:textId="77777777" w:rsidR="00C54B6A" w:rsidRPr="00EE19EA" w:rsidRDefault="00C54B6A" w:rsidP="00C57816">
      <w:pPr>
        <w:pStyle w:val="Prrafodelista"/>
        <w:spacing w:after="0" w:line="276" w:lineRule="auto"/>
        <w:ind w:left="1080"/>
        <w:jc w:val="both"/>
        <w:rPr>
          <w:rFonts w:ascii="Calibri" w:hAnsi="Calibri" w:cs="Calibri"/>
        </w:rPr>
      </w:pPr>
    </w:p>
    <w:p w14:paraId="2968EDA8" w14:textId="2A6B2532" w:rsidR="00C54B6A" w:rsidRPr="00EE19EA" w:rsidRDefault="00C83ECA" w:rsidP="00C57816">
      <w:pPr>
        <w:pStyle w:val="Prrafodelista"/>
        <w:tabs>
          <w:tab w:val="left" w:pos="1134"/>
        </w:tabs>
        <w:spacing w:after="0" w:line="276" w:lineRule="auto"/>
        <w:ind w:left="1134" w:right="1275"/>
        <w:jc w:val="both"/>
        <w:rPr>
          <w:rFonts w:ascii="Calibri" w:hAnsi="Calibri" w:cs="Calibri"/>
        </w:rPr>
      </w:pPr>
      <w:r w:rsidRPr="00EE19EA">
        <w:rPr>
          <w:rFonts w:ascii="Calibri" w:hAnsi="Calibri" w:cs="Calibri"/>
        </w:rPr>
        <w:t>“</w:t>
      </w:r>
      <w:r w:rsidR="00C54B6A" w:rsidRPr="00EE19EA">
        <w:rPr>
          <w:rFonts w:ascii="Calibri" w:hAnsi="Calibri" w:cs="Calibri"/>
          <w:b/>
        </w:rPr>
        <w:t>ÓRGANOS CONSTITUCIONALES AUTÓNOMOS. SUS CARACTERÍSTICAS</w:t>
      </w:r>
      <w:r w:rsidR="00C54B6A" w:rsidRPr="00EE19EA">
        <w:rPr>
          <w:rFonts w:ascii="Calibri" w:hAnsi="Calibri" w:cs="Calibri"/>
        </w:rPr>
        <w:t xml:space="preserve">. 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w:t>
      </w:r>
      <w:r w:rsidR="00C54B6A" w:rsidRPr="00EE19EA">
        <w:rPr>
          <w:rFonts w:ascii="Calibri" w:hAnsi="Calibri" w:cs="Calibri"/>
        </w:rPr>
        <w:lastRenderedPageBreak/>
        <w:t>financiera; y, d) atender funciones coyunturales del Estado que requieran ser eficazmente atendidas en beneficio de la sociedad.</w:t>
      </w:r>
      <w:r w:rsidR="00C54B6A" w:rsidRPr="00EE19EA">
        <w:rPr>
          <w:rStyle w:val="Refdenotaalpie"/>
          <w:rFonts w:ascii="Calibri" w:hAnsi="Calibri" w:cs="Calibri"/>
          <w:i/>
          <w:iCs/>
        </w:rPr>
        <w:footnoteReference w:id="3"/>
      </w:r>
    </w:p>
    <w:p w14:paraId="3972189A" w14:textId="77777777" w:rsidR="00C54B6A" w:rsidRPr="00EE19EA" w:rsidRDefault="00C54B6A" w:rsidP="00C57816">
      <w:pPr>
        <w:pStyle w:val="Prrafodelista"/>
        <w:spacing w:after="0" w:line="276" w:lineRule="auto"/>
        <w:ind w:left="1080"/>
        <w:jc w:val="both"/>
        <w:rPr>
          <w:rFonts w:ascii="Calibri" w:hAnsi="Calibri" w:cs="Calibri"/>
        </w:rPr>
      </w:pPr>
    </w:p>
    <w:p w14:paraId="6926AC3A" w14:textId="685AA2F4" w:rsidR="00C54B6A" w:rsidRPr="00EE19EA" w:rsidRDefault="00C83ECA" w:rsidP="00C57816">
      <w:pPr>
        <w:pStyle w:val="Prrafodelista"/>
        <w:tabs>
          <w:tab w:val="left" w:pos="1134"/>
        </w:tabs>
        <w:spacing w:after="0" w:line="276" w:lineRule="auto"/>
        <w:ind w:left="1134" w:right="1275"/>
        <w:jc w:val="both"/>
        <w:rPr>
          <w:rFonts w:ascii="Calibri" w:hAnsi="Calibri" w:cs="Calibri"/>
        </w:rPr>
      </w:pPr>
      <w:r w:rsidRPr="00EE19EA">
        <w:rPr>
          <w:rFonts w:ascii="Calibri" w:hAnsi="Calibri" w:cs="Calibri"/>
        </w:rPr>
        <w:t>“</w:t>
      </w:r>
      <w:r w:rsidR="00C54B6A" w:rsidRPr="00EE19EA">
        <w:rPr>
          <w:rFonts w:ascii="Calibri" w:hAnsi="Calibri" w:cs="Calibri"/>
          <w:b/>
        </w:rPr>
        <w:t>INSTITUTO FEDERAL DE TELECOMUNICACIONES (IFT). ES UN ÓRGANO CONSTITUCIONAL AUTÓNOMO CON UNA NÓMINA COMPETENCIAL PROPIA OPONIBLE AL RESTO DE LOS PODERES DEL ESTADO, QUE PUEDE UTILIZAR AL MÁXIMO DE SU CAPACIDAD PARA REALIZAR SUS FINES INSTITUCIONALES</w:t>
      </w:r>
      <w:r w:rsidR="00C54B6A" w:rsidRPr="00EE19EA">
        <w:rPr>
          <w:rFonts w:ascii="Calibri" w:hAnsi="Calibri" w:cs="Calibri"/>
        </w:rPr>
        <w:t xml:space="preserve">. Con motivo de la reforma a la Constitución Política de los Estados Unidos Mexicanos publicada en el Diario Oficial de la Federación el 11 de junio de 2013, se introdujo una serie de contenidos normativos novedosos en su artículo 28, entre ellos, la creación y regulación del IFT como un nuevo órgano autónomo, con una nómina competencial propia y diferenciada respecto de los otros poderes y órganos previstos en la Norma Fundamental, de la cual deriva que no tiene asignada una función jurídica preponderante, sino que conjunta las tres clásicas: la de producción de normas generales, la de aplicación y la de adjudicación. Ahora bien, una de las implicaciones lógicas de lo anterior es que dicho órgano, al contar con competencias propias, puede oponerlas a los tres Poderes de la Unión en que se divide el poder público, según el artículo 49 de la Constitución Federal, en un ámbito material delimitado constitucionalmente definido, consistente en el </w:t>
      </w:r>
      <w:bookmarkStart w:id="1" w:name="_Hlk15638541"/>
      <w:r w:rsidR="00C54B6A" w:rsidRPr="00EE19EA">
        <w:rPr>
          <w:rFonts w:ascii="Calibri" w:hAnsi="Calibri" w:cs="Calibri"/>
        </w:rPr>
        <w:t>desarrollo eficiente de la radiodifusión y las telecomunicaciones</w:t>
      </w:r>
      <w:bookmarkEnd w:id="1"/>
      <w:r w:rsidR="00C54B6A" w:rsidRPr="00EE19EA">
        <w:rPr>
          <w:rFonts w:ascii="Calibri" w:hAnsi="Calibri" w:cs="Calibri"/>
        </w:rPr>
        <w:t>, conforme a lo dispuesto en la propia Ley Suprema y en los términos que fijen las leyes. En otras palabras, con independencia de lo que hagan los otros Poderes, el órgano regulador tiene un ámbito de poder propio que puede utilizar al máximo de su capacidad para realizar sus fines institucionales, como consecuencia de ser titular de facultades constitucionales propias</w:t>
      </w:r>
      <w:r w:rsidR="00C54B6A" w:rsidRPr="00EE19EA">
        <w:rPr>
          <w:rFonts w:ascii="Calibri" w:hAnsi="Calibri" w:cs="Calibri"/>
          <w:i/>
        </w:rPr>
        <w:t>.</w:t>
      </w:r>
      <w:r w:rsidR="00C54B6A" w:rsidRPr="00EE19EA">
        <w:rPr>
          <w:rStyle w:val="Refdenotaalpie"/>
          <w:rFonts w:ascii="Calibri" w:hAnsi="Calibri" w:cs="Calibri"/>
          <w:i/>
          <w:iCs/>
        </w:rPr>
        <w:footnoteReference w:id="4"/>
      </w:r>
      <w:r w:rsidRPr="00EE19EA">
        <w:rPr>
          <w:rFonts w:ascii="Calibri" w:hAnsi="Calibri" w:cs="Calibri"/>
          <w:i/>
        </w:rPr>
        <w:t>”</w:t>
      </w:r>
    </w:p>
    <w:p w14:paraId="0BAA1693" w14:textId="77777777" w:rsidR="00C54B6A" w:rsidRPr="00EE19EA" w:rsidRDefault="00C54B6A" w:rsidP="00C57816">
      <w:pPr>
        <w:pStyle w:val="Prrafodelista"/>
        <w:spacing w:after="0" w:line="276" w:lineRule="auto"/>
        <w:ind w:left="1080"/>
        <w:jc w:val="both"/>
        <w:rPr>
          <w:rFonts w:ascii="Calibri" w:hAnsi="Calibri" w:cs="Calibri"/>
        </w:rPr>
      </w:pPr>
    </w:p>
    <w:p w14:paraId="1730AF4A" w14:textId="1E6A6A37" w:rsidR="00C54B6A" w:rsidRPr="00EE19EA" w:rsidRDefault="00C54B6A" w:rsidP="00C57816">
      <w:pPr>
        <w:pStyle w:val="Prrafodelista"/>
        <w:numPr>
          <w:ilvl w:val="0"/>
          <w:numId w:val="23"/>
        </w:numPr>
        <w:tabs>
          <w:tab w:val="left" w:pos="8505"/>
        </w:tabs>
        <w:spacing w:after="0" w:line="276" w:lineRule="auto"/>
        <w:ind w:left="567" w:right="333" w:hanging="567"/>
        <w:jc w:val="both"/>
        <w:rPr>
          <w:rFonts w:ascii="Calibri" w:hAnsi="Calibri" w:cs="Calibri"/>
        </w:rPr>
      </w:pPr>
      <w:r w:rsidRPr="00EE19EA">
        <w:rPr>
          <w:rFonts w:ascii="Calibri" w:hAnsi="Calibri" w:cs="Calibri"/>
        </w:rPr>
        <w:t>En ese sentido, el I</w:t>
      </w:r>
      <w:r w:rsidR="00344B65" w:rsidRPr="00EE19EA">
        <w:rPr>
          <w:rFonts w:ascii="Calibri" w:hAnsi="Calibri" w:cs="Calibri"/>
        </w:rPr>
        <w:t>nstituto dentro de su ámbito de mandato</w:t>
      </w:r>
      <w:r w:rsidRPr="00EE19EA">
        <w:rPr>
          <w:rFonts w:ascii="Calibri" w:hAnsi="Calibri" w:cs="Calibri"/>
        </w:rPr>
        <w:t xml:space="preserve"> – es decir, </w:t>
      </w:r>
      <w:r w:rsidRPr="00EE19EA">
        <w:rPr>
          <w:rFonts w:ascii="Calibri" w:hAnsi="Calibri" w:cs="Calibri"/>
          <w:i/>
        </w:rPr>
        <w:t>el desarrollo eficiente de la radiodifusión y las telecomunicaciones</w:t>
      </w:r>
      <w:r w:rsidRPr="00EE19EA">
        <w:rPr>
          <w:rFonts w:ascii="Calibri" w:hAnsi="Calibri" w:cs="Calibri"/>
        </w:rPr>
        <w:t xml:space="preserve"> mismo que </w:t>
      </w:r>
      <w:r w:rsidR="00355C35" w:rsidRPr="00EE19EA">
        <w:rPr>
          <w:rFonts w:ascii="Calibri" w:hAnsi="Calibri" w:cs="Calibri"/>
        </w:rPr>
        <w:t xml:space="preserve">involucra el desarrollo </w:t>
      </w:r>
      <w:r w:rsidRPr="00EE19EA">
        <w:rPr>
          <w:rFonts w:ascii="Calibri" w:hAnsi="Calibri" w:cs="Calibri"/>
        </w:rPr>
        <w:t>digital y de mercados digitales – puede utilizar al máximo sus competencias constitucionales para cu</w:t>
      </w:r>
      <w:r w:rsidR="00344B65" w:rsidRPr="00EE19EA">
        <w:rPr>
          <w:rFonts w:ascii="Calibri" w:hAnsi="Calibri" w:cs="Calibri"/>
        </w:rPr>
        <w:t>mplir con su fin y crear un comité</w:t>
      </w:r>
      <w:r w:rsidR="00344B65" w:rsidRPr="00EE19EA">
        <w:rPr>
          <w:rFonts w:ascii="Calibri" w:hAnsi="Calibri" w:cs="Calibri"/>
          <w:lang w:val="es-ES"/>
        </w:rPr>
        <w:t xml:space="preserve"> especializado de naturaleza consultiva que permita la interacción efectiva entre el Instituto, otros órganos públicos con competencia en temas relevantes para </w:t>
      </w:r>
      <w:r w:rsidR="00344B65" w:rsidRPr="00EE19EA">
        <w:rPr>
          <w:rFonts w:ascii="Calibri" w:hAnsi="Calibri" w:cs="Calibri"/>
          <w:lang w:val="es-ES"/>
        </w:rPr>
        <w:lastRenderedPageBreak/>
        <w:t>la regulación y promoción del entorno digital; así como representantes de la industria y la academia</w:t>
      </w:r>
      <w:r w:rsidR="003865FE" w:rsidRPr="00EE19EA">
        <w:rPr>
          <w:rFonts w:ascii="Calibri" w:hAnsi="Calibri" w:cs="Calibri"/>
          <w:lang w:val="es-ES"/>
        </w:rPr>
        <w:t>.</w:t>
      </w:r>
    </w:p>
    <w:p w14:paraId="0C148522" w14:textId="77777777" w:rsidR="00563DC3" w:rsidRPr="00EE19EA" w:rsidRDefault="00563DC3" w:rsidP="00C57816">
      <w:pPr>
        <w:tabs>
          <w:tab w:val="left" w:pos="8505"/>
        </w:tabs>
        <w:spacing w:after="0" w:line="276" w:lineRule="auto"/>
        <w:ind w:right="333"/>
        <w:jc w:val="both"/>
        <w:rPr>
          <w:rFonts w:ascii="Calibri" w:hAnsi="Calibri" w:cs="Calibri"/>
        </w:rPr>
      </w:pPr>
    </w:p>
    <w:p w14:paraId="30B5F685" w14:textId="10E44535" w:rsidR="00ED4752" w:rsidRPr="00EE19EA" w:rsidRDefault="008D09F7" w:rsidP="00C57816">
      <w:pPr>
        <w:pStyle w:val="Prrafodelista"/>
        <w:numPr>
          <w:ilvl w:val="0"/>
          <w:numId w:val="20"/>
        </w:numPr>
        <w:spacing w:after="0" w:line="276" w:lineRule="auto"/>
        <w:ind w:left="567" w:hanging="567"/>
        <w:outlineLvl w:val="0"/>
        <w:rPr>
          <w:rFonts w:ascii="Calibri" w:hAnsi="Calibri" w:cs="Calibri"/>
          <w:u w:val="single"/>
          <w:lang w:val="es-ES"/>
        </w:rPr>
      </w:pPr>
      <w:bookmarkStart w:id="2" w:name="_Toc22047570"/>
      <w:r w:rsidRPr="00EE19EA">
        <w:rPr>
          <w:rFonts w:ascii="Calibri" w:hAnsi="Calibri" w:cs="Calibri"/>
          <w:b/>
          <w:bCs/>
          <w:u w:val="single"/>
          <w:lang w:val="es-ES"/>
        </w:rPr>
        <w:t>Recomendación</w:t>
      </w:r>
      <w:bookmarkEnd w:id="2"/>
    </w:p>
    <w:p w14:paraId="203FAE04" w14:textId="77777777" w:rsidR="00E44017" w:rsidRPr="00EE19EA" w:rsidRDefault="00E44017" w:rsidP="00C57816">
      <w:pPr>
        <w:pStyle w:val="Prrafodelista"/>
        <w:spacing w:after="0" w:line="276" w:lineRule="auto"/>
        <w:ind w:left="567"/>
        <w:rPr>
          <w:rFonts w:ascii="Calibri" w:hAnsi="Calibri" w:cs="Calibri"/>
          <w:u w:val="single"/>
          <w:lang w:val="es-ES"/>
        </w:rPr>
      </w:pPr>
    </w:p>
    <w:p w14:paraId="25254BA1" w14:textId="0DABD7C8" w:rsidR="00563DC3" w:rsidRPr="00EE19EA" w:rsidRDefault="00E44017" w:rsidP="00C57816">
      <w:pPr>
        <w:pStyle w:val="Prrafodelista"/>
        <w:numPr>
          <w:ilvl w:val="0"/>
          <w:numId w:val="23"/>
        </w:numPr>
        <w:tabs>
          <w:tab w:val="left" w:pos="8505"/>
        </w:tabs>
        <w:spacing w:after="0" w:line="276" w:lineRule="auto"/>
        <w:ind w:left="567" w:right="333" w:hanging="567"/>
        <w:jc w:val="both"/>
        <w:rPr>
          <w:rFonts w:ascii="Calibri" w:hAnsi="Calibri" w:cs="Calibri"/>
          <w:u w:val="single"/>
          <w:lang w:val="es-ES"/>
        </w:rPr>
      </w:pPr>
      <w:r w:rsidRPr="00EE19EA">
        <w:rPr>
          <w:rFonts w:ascii="Calibri" w:hAnsi="Calibri" w:cs="Calibri"/>
          <w:lang w:val="es-ES"/>
        </w:rPr>
        <w:t>Este Consejo Consultivo recomienda al Instituto anali</w:t>
      </w:r>
      <w:r w:rsidR="00A261E5" w:rsidRPr="00EE19EA">
        <w:rPr>
          <w:rFonts w:ascii="Calibri" w:hAnsi="Calibri" w:cs="Calibri"/>
          <w:lang w:val="es-ES"/>
        </w:rPr>
        <w:t>zar</w:t>
      </w:r>
      <w:r w:rsidRPr="00EE19EA">
        <w:rPr>
          <w:rFonts w:ascii="Calibri" w:hAnsi="Calibri" w:cs="Calibri"/>
          <w:lang w:val="es-ES"/>
        </w:rPr>
        <w:t xml:space="preserve"> la conveniencia de que el Pleno acuerde la creación del </w:t>
      </w:r>
      <w:r w:rsidR="006165FA" w:rsidRPr="00EE19EA">
        <w:rPr>
          <w:rFonts w:ascii="Calibri" w:hAnsi="Calibri" w:cs="Calibri"/>
          <w:lang w:val="es-ES"/>
        </w:rPr>
        <w:t xml:space="preserve">COTEPEDI </w:t>
      </w:r>
      <w:r w:rsidRPr="00EE19EA">
        <w:rPr>
          <w:rFonts w:ascii="Calibri" w:hAnsi="Calibri" w:cs="Calibri"/>
          <w:lang w:val="es-ES"/>
        </w:rPr>
        <w:t>como un órgano especializado</w:t>
      </w:r>
      <w:r w:rsidR="00074047" w:rsidRPr="00EE19EA">
        <w:rPr>
          <w:rFonts w:ascii="Calibri" w:hAnsi="Calibri" w:cs="Calibri"/>
          <w:lang w:val="es-ES"/>
        </w:rPr>
        <w:t>,</w:t>
      </w:r>
      <w:r w:rsidRPr="00EE19EA">
        <w:rPr>
          <w:rFonts w:ascii="Calibri" w:hAnsi="Calibri" w:cs="Calibri"/>
          <w:lang w:val="es-ES"/>
        </w:rPr>
        <w:t xml:space="preserve"> de naturaleza consultiva</w:t>
      </w:r>
      <w:r w:rsidR="00074047" w:rsidRPr="00EE19EA">
        <w:rPr>
          <w:rFonts w:ascii="Calibri" w:hAnsi="Calibri" w:cs="Calibri"/>
          <w:lang w:val="es-ES"/>
        </w:rPr>
        <w:t>,</w:t>
      </w:r>
      <w:r w:rsidRPr="00EE19EA">
        <w:rPr>
          <w:rFonts w:ascii="Calibri" w:hAnsi="Calibri" w:cs="Calibri"/>
          <w:lang w:val="es-ES"/>
        </w:rPr>
        <w:t xml:space="preserve"> que permita la interacción efectiva entre el Instituto, otros órganos públicos con competencia en temas relevantes para la regulación y promoción del entorno digital</w:t>
      </w:r>
      <w:r w:rsidR="00F65869" w:rsidRPr="00EE19EA">
        <w:rPr>
          <w:rFonts w:ascii="Calibri" w:hAnsi="Calibri" w:cs="Calibri"/>
          <w:lang w:val="es-ES"/>
        </w:rPr>
        <w:t>, tanto nacionales como internacionales</w:t>
      </w:r>
      <w:r w:rsidRPr="00EE19EA">
        <w:rPr>
          <w:rFonts w:ascii="Calibri" w:hAnsi="Calibri" w:cs="Calibri"/>
          <w:lang w:val="es-ES"/>
        </w:rPr>
        <w:t>; así como representantes de la industria</w:t>
      </w:r>
      <w:r w:rsidR="006165FA" w:rsidRPr="00EE19EA">
        <w:rPr>
          <w:rFonts w:ascii="Calibri" w:hAnsi="Calibri" w:cs="Calibri"/>
          <w:lang w:val="es-ES"/>
        </w:rPr>
        <w:t>,</w:t>
      </w:r>
      <w:r w:rsidRPr="00EE19EA">
        <w:rPr>
          <w:rFonts w:ascii="Calibri" w:hAnsi="Calibri" w:cs="Calibri"/>
          <w:lang w:val="es-ES"/>
        </w:rPr>
        <w:t xml:space="preserve"> la academia</w:t>
      </w:r>
      <w:r w:rsidR="006165FA" w:rsidRPr="00EE19EA">
        <w:rPr>
          <w:rFonts w:ascii="Calibri" w:hAnsi="Calibri" w:cs="Calibri"/>
          <w:lang w:val="es-ES"/>
        </w:rPr>
        <w:t xml:space="preserve"> y la sociedad civil</w:t>
      </w:r>
      <w:r w:rsidR="003865FE" w:rsidRPr="00EE19EA">
        <w:rPr>
          <w:rFonts w:ascii="Calibri" w:hAnsi="Calibri" w:cs="Calibri"/>
          <w:lang w:val="es-ES"/>
        </w:rPr>
        <w:t>;</w:t>
      </w:r>
      <w:r w:rsidR="005A4BCA" w:rsidRPr="00EE19EA">
        <w:rPr>
          <w:rFonts w:ascii="Calibri" w:hAnsi="Calibri" w:cs="Calibri"/>
          <w:lang w:val="es-ES"/>
        </w:rPr>
        <w:t xml:space="preserve"> y, en su caso, emitir sus respectivas Reglas de Operación</w:t>
      </w:r>
      <w:r w:rsidRPr="00EE19EA">
        <w:rPr>
          <w:rFonts w:ascii="Calibri" w:hAnsi="Calibri" w:cs="Calibri"/>
          <w:lang w:val="es-ES"/>
        </w:rPr>
        <w:t xml:space="preserve">. </w:t>
      </w:r>
    </w:p>
    <w:p w14:paraId="704E1660" w14:textId="77777777" w:rsidR="005A4BCA" w:rsidRPr="00EE19EA" w:rsidRDefault="005A4BCA" w:rsidP="00C57816">
      <w:pPr>
        <w:pStyle w:val="Prrafodelista"/>
        <w:tabs>
          <w:tab w:val="left" w:pos="8505"/>
        </w:tabs>
        <w:spacing w:after="0" w:line="276" w:lineRule="auto"/>
        <w:ind w:left="567" w:right="333"/>
        <w:jc w:val="both"/>
        <w:rPr>
          <w:rFonts w:ascii="Calibri" w:hAnsi="Calibri" w:cs="Calibri"/>
          <w:u w:val="single"/>
          <w:lang w:val="es-ES"/>
        </w:rPr>
      </w:pPr>
    </w:p>
    <w:p w14:paraId="25483DD2" w14:textId="51E69357" w:rsidR="005A4BCA" w:rsidRPr="00EE19EA" w:rsidRDefault="005A4BCA"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E</w:t>
      </w:r>
      <w:r w:rsidR="00BD7B2E" w:rsidRPr="00EE19EA">
        <w:rPr>
          <w:rFonts w:ascii="Calibri" w:hAnsi="Calibri" w:cs="Calibri"/>
          <w:lang w:val="es-ES"/>
        </w:rPr>
        <w:t>l</w:t>
      </w:r>
      <w:r w:rsidRPr="00EE19EA">
        <w:rPr>
          <w:rFonts w:ascii="Calibri" w:hAnsi="Calibri" w:cs="Calibri"/>
          <w:lang w:val="es-ES"/>
        </w:rPr>
        <w:t xml:space="preserve"> </w:t>
      </w:r>
      <w:r w:rsidR="00F65869" w:rsidRPr="00EE19EA">
        <w:rPr>
          <w:rFonts w:ascii="Calibri" w:hAnsi="Calibri" w:cs="Calibri"/>
          <w:lang w:val="es-ES"/>
        </w:rPr>
        <w:t xml:space="preserve">COTEPEDI </w:t>
      </w:r>
      <w:r w:rsidR="00BD7B2E" w:rsidRPr="00EE19EA">
        <w:rPr>
          <w:rFonts w:ascii="Calibri" w:hAnsi="Calibri" w:cs="Calibri"/>
          <w:lang w:val="es-ES"/>
        </w:rPr>
        <w:t>podría estar definido como</w:t>
      </w:r>
      <w:r w:rsidRPr="00EE19EA">
        <w:rPr>
          <w:rFonts w:ascii="Calibri" w:hAnsi="Calibri" w:cs="Calibri"/>
          <w:lang w:val="es-ES"/>
        </w:rPr>
        <w:t xml:space="preserve">: </w:t>
      </w:r>
    </w:p>
    <w:p w14:paraId="20503133" w14:textId="77777777" w:rsidR="005A4BCA" w:rsidRPr="00EE19EA" w:rsidRDefault="005A4BCA" w:rsidP="00C57816">
      <w:pPr>
        <w:pStyle w:val="Prrafodelista"/>
        <w:spacing w:after="0" w:line="276" w:lineRule="auto"/>
        <w:rPr>
          <w:rFonts w:ascii="Calibri" w:hAnsi="Calibri" w:cs="Calibri"/>
          <w:lang w:val="es-ES"/>
        </w:rPr>
      </w:pPr>
    </w:p>
    <w:p w14:paraId="09921B17" w14:textId="7C38DB3E" w:rsidR="00597FC6" w:rsidRPr="00EE19EA" w:rsidRDefault="005A4BCA" w:rsidP="00C57816">
      <w:pPr>
        <w:pStyle w:val="Prrafodelista"/>
        <w:spacing w:after="0" w:line="276" w:lineRule="auto"/>
        <w:ind w:left="1418" w:right="900"/>
        <w:contextualSpacing w:val="0"/>
        <w:jc w:val="both"/>
        <w:rPr>
          <w:rFonts w:ascii="Calibri" w:hAnsi="Calibri" w:cs="Calibri"/>
          <w:i/>
          <w:lang w:val="es-ES"/>
        </w:rPr>
      </w:pPr>
      <w:r w:rsidRPr="00EE19EA">
        <w:rPr>
          <w:rFonts w:ascii="Calibri" w:hAnsi="Calibri" w:cs="Calibri"/>
          <w:i/>
          <w:lang w:val="es-ES"/>
        </w:rPr>
        <w:t>“Un órgano especializado de apoyo técnico en materia</w:t>
      </w:r>
      <w:r w:rsidR="00314401" w:rsidRPr="00EE19EA">
        <w:rPr>
          <w:rFonts w:ascii="Calibri" w:hAnsi="Calibri" w:cs="Calibri"/>
          <w:i/>
          <w:lang w:val="es-ES"/>
        </w:rPr>
        <w:t xml:space="preserve"> de</w:t>
      </w:r>
      <w:r w:rsidRPr="00EE19EA">
        <w:rPr>
          <w:rFonts w:ascii="Calibri" w:hAnsi="Calibri" w:cs="Calibri"/>
          <w:i/>
          <w:lang w:val="es-ES"/>
        </w:rPr>
        <w:t xml:space="preserve"> </w:t>
      </w:r>
      <w:r w:rsidR="00BD7B2E" w:rsidRPr="00EE19EA">
        <w:rPr>
          <w:rFonts w:ascii="Calibri" w:hAnsi="Calibri" w:cs="Calibri"/>
          <w:i/>
          <w:lang w:val="es-ES"/>
        </w:rPr>
        <w:t xml:space="preserve">análisis de políticas </w:t>
      </w:r>
      <w:r w:rsidR="006C10D4" w:rsidRPr="00EE19EA">
        <w:rPr>
          <w:rFonts w:ascii="Calibri" w:hAnsi="Calibri" w:cs="Calibri"/>
          <w:i/>
          <w:lang w:val="es-ES"/>
        </w:rPr>
        <w:t>de</w:t>
      </w:r>
      <w:r w:rsidR="00D5260F" w:rsidRPr="00EE19EA">
        <w:rPr>
          <w:rFonts w:ascii="Calibri" w:hAnsi="Calibri" w:cs="Calibri"/>
          <w:i/>
          <w:lang w:val="es-ES"/>
        </w:rPr>
        <w:t xml:space="preserve"> promoción </w:t>
      </w:r>
      <w:r w:rsidR="006C10D4" w:rsidRPr="00EE19EA">
        <w:rPr>
          <w:rFonts w:ascii="Calibri" w:hAnsi="Calibri" w:cs="Calibri"/>
          <w:i/>
          <w:lang w:val="es-ES"/>
        </w:rPr>
        <w:t xml:space="preserve">y funcionamiento </w:t>
      </w:r>
      <w:r w:rsidR="00D5260F" w:rsidRPr="00EE19EA">
        <w:rPr>
          <w:rFonts w:ascii="Calibri" w:hAnsi="Calibri" w:cs="Calibri"/>
          <w:i/>
          <w:lang w:val="es-ES"/>
        </w:rPr>
        <w:t xml:space="preserve">del entorno </w:t>
      </w:r>
      <w:r w:rsidR="00BD7B2E" w:rsidRPr="00EE19EA">
        <w:rPr>
          <w:rFonts w:ascii="Calibri" w:hAnsi="Calibri" w:cs="Calibri"/>
          <w:i/>
          <w:lang w:val="es-ES"/>
        </w:rPr>
        <w:t>digital</w:t>
      </w:r>
      <w:r w:rsidRPr="00EE19EA">
        <w:rPr>
          <w:rFonts w:ascii="Calibri" w:hAnsi="Calibri" w:cs="Calibri"/>
          <w:i/>
          <w:lang w:val="es-ES"/>
        </w:rPr>
        <w:t xml:space="preserve">, de naturaleza consultiva y no vinculante, de carácter permanente y que permitirá una interacción entre el Instituto, la Industria, la Academia, los Entes Públicos, representantes de asociaciones técnicas especializadas y cualquier otro interesado, en el que se expondrán las necesidades </w:t>
      </w:r>
      <w:r w:rsidR="00BD7B2E" w:rsidRPr="00EE19EA">
        <w:rPr>
          <w:rFonts w:ascii="Calibri" w:hAnsi="Calibri" w:cs="Calibri"/>
          <w:i/>
          <w:lang w:val="es-ES"/>
        </w:rPr>
        <w:t xml:space="preserve">para la promoción </w:t>
      </w:r>
      <w:r w:rsidR="00597FC6" w:rsidRPr="00EE19EA">
        <w:rPr>
          <w:rFonts w:ascii="Calibri" w:hAnsi="Calibri" w:cs="Calibri"/>
          <w:i/>
          <w:lang w:val="es-ES"/>
        </w:rPr>
        <w:t>de la innovación y competencia en el entorno digital</w:t>
      </w:r>
      <w:r w:rsidRPr="00EE19EA">
        <w:rPr>
          <w:rFonts w:ascii="Calibri" w:hAnsi="Calibri" w:cs="Calibri"/>
          <w:i/>
          <w:lang w:val="es-ES"/>
        </w:rPr>
        <w:t>.”</w:t>
      </w:r>
    </w:p>
    <w:p w14:paraId="41FB1DC0" w14:textId="511D6D62" w:rsidR="003B0EFB" w:rsidRPr="00C57816" w:rsidRDefault="003B0EFB" w:rsidP="00C57816">
      <w:pPr>
        <w:spacing w:after="0" w:line="276" w:lineRule="auto"/>
        <w:ind w:right="900"/>
        <w:jc w:val="both"/>
        <w:rPr>
          <w:rFonts w:ascii="Calibri" w:hAnsi="Calibri" w:cs="Calibri"/>
          <w:i/>
          <w:lang w:val="es-ES"/>
        </w:rPr>
      </w:pPr>
    </w:p>
    <w:p w14:paraId="2208257A" w14:textId="4E897CEB" w:rsidR="00D5260F" w:rsidRPr="00EE19EA" w:rsidRDefault="00D5260F" w:rsidP="00C57816">
      <w:pPr>
        <w:pStyle w:val="Prrafodelista"/>
        <w:tabs>
          <w:tab w:val="left" w:pos="8505"/>
        </w:tabs>
        <w:spacing w:after="0" w:line="276" w:lineRule="auto"/>
        <w:ind w:left="567" w:right="333"/>
        <w:jc w:val="both"/>
        <w:rPr>
          <w:rFonts w:ascii="Calibri" w:hAnsi="Calibri" w:cs="Calibri"/>
          <w:lang w:val="es-ES"/>
        </w:rPr>
      </w:pPr>
      <w:r w:rsidRPr="00EE19EA">
        <w:rPr>
          <w:rFonts w:ascii="Calibri" w:hAnsi="Calibri" w:cs="Calibri"/>
          <w:lang w:val="es-ES"/>
        </w:rPr>
        <w:t xml:space="preserve">Ello, en el entendido que el término “Entes Públicos” deberá </w:t>
      </w:r>
      <w:r w:rsidR="006573DE" w:rsidRPr="00EE19EA">
        <w:rPr>
          <w:rFonts w:ascii="Calibri" w:hAnsi="Calibri" w:cs="Calibri"/>
          <w:lang w:val="es-ES"/>
        </w:rPr>
        <w:t>abarcar</w:t>
      </w:r>
      <w:r w:rsidRPr="00EE19EA">
        <w:rPr>
          <w:rFonts w:ascii="Calibri" w:hAnsi="Calibri" w:cs="Calibri"/>
          <w:lang w:val="es-ES"/>
        </w:rPr>
        <w:t xml:space="preserve"> a todas aquellas autoridades con competencia en los diferentes temas que pudieran incidir en el desarrollo </w:t>
      </w:r>
      <w:r w:rsidR="006C10D4" w:rsidRPr="00EE19EA">
        <w:rPr>
          <w:rFonts w:ascii="Calibri" w:hAnsi="Calibri" w:cs="Calibri"/>
          <w:lang w:val="es-ES"/>
        </w:rPr>
        <w:t xml:space="preserve">y funcionamiento </w:t>
      </w:r>
      <w:r w:rsidRPr="00EE19EA">
        <w:rPr>
          <w:rFonts w:ascii="Calibri" w:hAnsi="Calibri" w:cs="Calibri"/>
          <w:lang w:val="es-ES"/>
        </w:rPr>
        <w:t xml:space="preserve">del </w:t>
      </w:r>
      <w:r w:rsidR="006C10D4" w:rsidRPr="00EE19EA">
        <w:rPr>
          <w:rFonts w:ascii="Calibri" w:hAnsi="Calibri" w:cs="Calibri"/>
          <w:lang w:val="es-ES"/>
        </w:rPr>
        <w:t xml:space="preserve">entorno digital. </w:t>
      </w:r>
      <w:r w:rsidRPr="00EE19EA">
        <w:rPr>
          <w:rFonts w:ascii="Calibri" w:hAnsi="Calibri" w:cs="Calibri"/>
          <w:lang w:val="es-ES"/>
        </w:rPr>
        <w:t xml:space="preserve">Entre esos Entes Públicos, este Consejo Consultivo identifica que la Comisión Federal de Competencia Económica; la Secretaría de Hacienda y Crédito Público; la Secretaría de Comunicaciones y Transportes; la Procuraduría Federal del Consumidor; y el Instituto Nacional de Transparencia, Acceso a la Información y Protección de Datos Personales son autoridades cuya participación podría </w:t>
      </w:r>
      <w:r w:rsidR="006C10D4" w:rsidRPr="00EE19EA">
        <w:rPr>
          <w:rFonts w:ascii="Calibri" w:hAnsi="Calibri" w:cs="Calibri"/>
          <w:lang w:val="es-ES"/>
        </w:rPr>
        <w:t xml:space="preserve">procurar </w:t>
      </w:r>
      <w:r w:rsidRPr="00EE19EA">
        <w:rPr>
          <w:rFonts w:ascii="Calibri" w:hAnsi="Calibri" w:cs="Calibri"/>
          <w:lang w:val="es-ES"/>
        </w:rPr>
        <w:t>el Instituto. Por supuesto, ello sin perjuicio de la participación de otras autoridades para temas específicos.</w:t>
      </w:r>
    </w:p>
    <w:p w14:paraId="653480F0" w14:textId="4CCE9FFD" w:rsidR="00376773" w:rsidRPr="00EE19EA" w:rsidRDefault="00376773" w:rsidP="00C57816">
      <w:pPr>
        <w:pStyle w:val="Prrafodelista"/>
        <w:spacing w:after="0" w:line="276" w:lineRule="auto"/>
        <w:ind w:left="1418" w:right="900"/>
        <w:contextualSpacing w:val="0"/>
        <w:jc w:val="both"/>
        <w:rPr>
          <w:rFonts w:ascii="Calibri" w:hAnsi="Calibri" w:cs="Calibri"/>
          <w:i/>
          <w:lang w:val="es-ES"/>
        </w:rPr>
      </w:pPr>
    </w:p>
    <w:p w14:paraId="2661547D" w14:textId="15AF6127" w:rsidR="005A4BCA" w:rsidRPr="00EE19EA" w:rsidRDefault="00E64E77"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 xml:space="preserve">Dentro de las </w:t>
      </w:r>
      <w:r w:rsidR="005A4BCA" w:rsidRPr="00EE19EA">
        <w:rPr>
          <w:rFonts w:ascii="Calibri" w:hAnsi="Calibri" w:cs="Calibri"/>
          <w:lang w:val="es-ES"/>
        </w:rPr>
        <w:t xml:space="preserve">funciones </w:t>
      </w:r>
      <w:r w:rsidRPr="00EE19EA">
        <w:rPr>
          <w:rFonts w:ascii="Calibri" w:hAnsi="Calibri" w:cs="Calibri"/>
          <w:lang w:val="es-ES"/>
        </w:rPr>
        <w:t xml:space="preserve">del </w:t>
      </w:r>
      <w:r w:rsidR="006D2230" w:rsidRPr="00EE19EA">
        <w:rPr>
          <w:rFonts w:ascii="Calibri" w:hAnsi="Calibri" w:cs="Calibri"/>
          <w:lang w:val="es-ES"/>
        </w:rPr>
        <w:t xml:space="preserve">COTEPEDI </w:t>
      </w:r>
      <w:r w:rsidRPr="00EE19EA">
        <w:rPr>
          <w:rFonts w:ascii="Calibri" w:hAnsi="Calibri" w:cs="Calibri"/>
          <w:lang w:val="es-ES"/>
        </w:rPr>
        <w:t>pudieran estar comprendidas las siguientes:</w:t>
      </w:r>
    </w:p>
    <w:p w14:paraId="76C29918" w14:textId="77777777" w:rsidR="00597FC6" w:rsidRPr="00EE19EA" w:rsidRDefault="00597FC6" w:rsidP="00C57816">
      <w:pPr>
        <w:spacing w:after="0" w:line="276" w:lineRule="auto"/>
        <w:jc w:val="both"/>
        <w:rPr>
          <w:rFonts w:ascii="Calibri" w:hAnsi="Calibri" w:cs="Calibri"/>
          <w:lang w:val="es-ES"/>
        </w:rPr>
      </w:pPr>
    </w:p>
    <w:p w14:paraId="7EF30C6F" w14:textId="37E5A8D2" w:rsidR="005A4BCA" w:rsidRPr="00EE19EA" w:rsidRDefault="005A4BCA" w:rsidP="00C57816">
      <w:pPr>
        <w:pStyle w:val="Prrafodelista"/>
        <w:numPr>
          <w:ilvl w:val="0"/>
          <w:numId w:val="33"/>
        </w:numPr>
        <w:spacing w:after="0" w:line="276" w:lineRule="auto"/>
        <w:ind w:left="1134" w:hanging="567"/>
        <w:jc w:val="both"/>
        <w:rPr>
          <w:rFonts w:ascii="Calibri" w:hAnsi="Calibri" w:cs="Calibri"/>
          <w:lang w:val="es-ES"/>
        </w:rPr>
      </w:pPr>
      <w:r w:rsidRPr="00EE19EA">
        <w:rPr>
          <w:rFonts w:ascii="Calibri" w:hAnsi="Calibri" w:cs="Calibri"/>
          <w:lang w:val="es-ES"/>
        </w:rPr>
        <w:t>Generar y proponer insumos al Instituto para el desarrollo de principios</w:t>
      </w:r>
      <w:r w:rsidR="00E64E77" w:rsidRPr="00EE19EA">
        <w:rPr>
          <w:rFonts w:ascii="Calibri" w:hAnsi="Calibri" w:cs="Calibri"/>
          <w:lang w:val="es-ES"/>
        </w:rPr>
        <w:t xml:space="preserve">, políticas </w:t>
      </w:r>
      <w:r w:rsidRPr="00EE19EA">
        <w:rPr>
          <w:rFonts w:ascii="Calibri" w:hAnsi="Calibri" w:cs="Calibri"/>
          <w:lang w:val="es-ES"/>
        </w:rPr>
        <w:t>y</w:t>
      </w:r>
      <w:r w:rsidR="00E64E77" w:rsidRPr="00EE19EA">
        <w:rPr>
          <w:rFonts w:ascii="Calibri" w:hAnsi="Calibri" w:cs="Calibri"/>
          <w:lang w:val="es-ES"/>
        </w:rPr>
        <w:t xml:space="preserve"> capacidades técnicas tendientes a la promoción del desarrollo eficiente del entorno digital</w:t>
      </w:r>
      <w:r w:rsidRPr="00EE19EA">
        <w:rPr>
          <w:rFonts w:ascii="Calibri" w:hAnsi="Calibri" w:cs="Calibri"/>
          <w:lang w:val="es-ES"/>
        </w:rPr>
        <w:t>, mediante el intercambio de criterios y puntos de vista entre los integr</w:t>
      </w:r>
      <w:r w:rsidRPr="00EE19EA">
        <w:rPr>
          <w:rFonts w:ascii="Calibri" w:eastAsia="Calibri" w:hAnsi="Calibri" w:cs="Calibri"/>
          <w:lang w:val="es-ES"/>
        </w:rPr>
        <w:t>a</w:t>
      </w:r>
      <w:r w:rsidRPr="00EE19EA">
        <w:rPr>
          <w:rFonts w:ascii="Calibri" w:hAnsi="Calibri" w:cs="Calibri"/>
          <w:lang w:val="es-ES"/>
        </w:rPr>
        <w:t>ntes del Comité;</w:t>
      </w:r>
    </w:p>
    <w:p w14:paraId="008A4959" w14:textId="77777777" w:rsidR="000250D0" w:rsidRPr="00EE19EA" w:rsidRDefault="000250D0" w:rsidP="00C57816">
      <w:pPr>
        <w:pStyle w:val="Prrafodelista"/>
        <w:spacing w:after="0" w:line="276" w:lineRule="auto"/>
        <w:ind w:left="1134"/>
        <w:jc w:val="both"/>
        <w:rPr>
          <w:rFonts w:ascii="Calibri" w:hAnsi="Calibri" w:cs="Calibri"/>
          <w:lang w:val="es-ES"/>
        </w:rPr>
      </w:pPr>
    </w:p>
    <w:p w14:paraId="5E2D3404" w14:textId="60F5DE0F" w:rsidR="000250D0" w:rsidRPr="00EE19EA" w:rsidRDefault="005A4BCA" w:rsidP="00C57816">
      <w:pPr>
        <w:pStyle w:val="Prrafodelista"/>
        <w:numPr>
          <w:ilvl w:val="0"/>
          <w:numId w:val="33"/>
        </w:numPr>
        <w:spacing w:after="0" w:line="276" w:lineRule="auto"/>
        <w:ind w:left="1134" w:hanging="567"/>
        <w:jc w:val="both"/>
        <w:rPr>
          <w:rFonts w:ascii="Calibri" w:hAnsi="Calibri" w:cs="Calibri"/>
          <w:lang w:val="es-ES"/>
        </w:rPr>
      </w:pPr>
      <w:r w:rsidRPr="00EE19EA">
        <w:rPr>
          <w:rFonts w:ascii="Calibri" w:hAnsi="Calibri" w:cs="Calibri"/>
          <w:lang w:val="es-ES"/>
        </w:rPr>
        <w:t xml:space="preserve">Elaborar contribuciones analíticas y documentos de trabajo que podrán servir de apoyo para el Instituto en </w:t>
      </w:r>
      <w:r w:rsidR="000250D0" w:rsidRPr="00EE19EA">
        <w:rPr>
          <w:rFonts w:ascii="Calibri" w:hAnsi="Calibri" w:cs="Calibri"/>
          <w:lang w:val="es-ES"/>
        </w:rPr>
        <w:t xml:space="preserve">para el desarrollo de principios, políticas y capacidades técnicas tendientes a la promoción del desarrollo eficiente del entorno digital; </w:t>
      </w:r>
    </w:p>
    <w:p w14:paraId="7826A9ED" w14:textId="77777777" w:rsidR="000250D0" w:rsidRPr="00EE19EA" w:rsidRDefault="000250D0" w:rsidP="00C57816">
      <w:pPr>
        <w:pStyle w:val="Prrafodelista"/>
        <w:spacing w:after="0" w:line="276" w:lineRule="auto"/>
        <w:rPr>
          <w:rFonts w:ascii="Calibri" w:hAnsi="Calibri" w:cs="Calibri"/>
          <w:lang w:val="es-ES"/>
        </w:rPr>
      </w:pPr>
    </w:p>
    <w:p w14:paraId="6A0EE4E5" w14:textId="10D17F41" w:rsidR="005A4BCA" w:rsidRPr="00EE19EA" w:rsidRDefault="00074047" w:rsidP="00C57816">
      <w:pPr>
        <w:pStyle w:val="Prrafodelista"/>
        <w:numPr>
          <w:ilvl w:val="0"/>
          <w:numId w:val="33"/>
        </w:numPr>
        <w:spacing w:after="0" w:line="276" w:lineRule="auto"/>
        <w:ind w:left="1134" w:hanging="567"/>
        <w:jc w:val="both"/>
        <w:rPr>
          <w:rFonts w:ascii="Calibri" w:hAnsi="Calibri" w:cs="Calibri"/>
          <w:lang w:val="es-ES"/>
        </w:rPr>
      </w:pPr>
      <w:r w:rsidRPr="00EE19EA">
        <w:rPr>
          <w:rFonts w:ascii="Calibri" w:hAnsi="Calibri" w:cs="Calibri"/>
          <w:lang w:val="es-ES"/>
        </w:rPr>
        <w:t xml:space="preserve">Facilitar el intercambio de </w:t>
      </w:r>
      <w:r w:rsidR="005A4BCA" w:rsidRPr="00EE19EA">
        <w:rPr>
          <w:rFonts w:ascii="Calibri" w:hAnsi="Calibri" w:cs="Calibri"/>
          <w:lang w:val="es-ES"/>
        </w:rPr>
        <w:t xml:space="preserve">puntos de vista entre los integrantes del Comité respecto a las necesidades, estrategias, prospectiva y estudios del </w:t>
      </w:r>
      <w:r w:rsidR="000250D0" w:rsidRPr="00EE19EA">
        <w:rPr>
          <w:rFonts w:ascii="Calibri" w:hAnsi="Calibri" w:cs="Calibri"/>
          <w:lang w:val="es-ES"/>
        </w:rPr>
        <w:t>entorno digital</w:t>
      </w:r>
      <w:r w:rsidR="005A4BCA" w:rsidRPr="00EE19EA">
        <w:rPr>
          <w:rFonts w:ascii="Calibri" w:hAnsi="Calibri" w:cs="Calibri"/>
          <w:lang w:val="es-ES"/>
        </w:rPr>
        <w:t>;</w:t>
      </w:r>
    </w:p>
    <w:p w14:paraId="78A7F991" w14:textId="77777777" w:rsidR="00837472" w:rsidRPr="00EE19EA" w:rsidRDefault="00837472" w:rsidP="00C57816">
      <w:pPr>
        <w:pStyle w:val="Prrafodelista"/>
        <w:spacing w:after="0" w:line="276" w:lineRule="auto"/>
        <w:rPr>
          <w:rFonts w:ascii="Calibri" w:hAnsi="Calibri" w:cs="Calibri"/>
          <w:lang w:val="es-ES"/>
        </w:rPr>
      </w:pPr>
    </w:p>
    <w:p w14:paraId="7B72F474" w14:textId="58626A3E" w:rsidR="005A4BCA" w:rsidRPr="00EE19EA" w:rsidRDefault="005A4BCA" w:rsidP="00C57816">
      <w:pPr>
        <w:pStyle w:val="Prrafodelista"/>
        <w:numPr>
          <w:ilvl w:val="0"/>
          <w:numId w:val="33"/>
        </w:numPr>
        <w:spacing w:after="0" w:line="276" w:lineRule="auto"/>
        <w:ind w:left="1134" w:hanging="567"/>
        <w:jc w:val="both"/>
        <w:rPr>
          <w:rFonts w:ascii="Calibri" w:hAnsi="Calibri" w:cs="Calibri"/>
          <w:lang w:val="es-ES"/>
        </w:rPr>
      </w:pPr>
      <w:r w:rsidRPr="00EE19EA">
        <w:rPr>
          <w:rFonts w:ascii="Calibri" w:hAnsi="Calibri" w:cs="Calibri"/>
          <w:lang w:val="es-ES"/>
        </w:rPr>
        <w:t xml:space="preserve">Aportar insumos al Instituto con posibles posturas en materia de </w:t>
      </w:r>
      <w:r w:rsidR="000250D0" w:rsidRPr="00EE19EA">
        <w:rPr>
          <w:rFonts w:ascii="Calibri" w:hAnsi="Calibri" w:cs="Calibri"/>
          <w:lang w:val="es-ES"/>
        </w:rPr>
        <w:t>promoción del entorno digital</w:t>
      </w:r>
      <w:r w:rsidRPr="00EE19EA">
        <w:rPr>
          <w:rFonts w:ascii="Calibri" w:hAnsi="Calibri" w:cs="Calibri"/>
          <w:lang w:val="es-ES"/>
        </w:rPr>
        <w:t>, sin menoscabo de la co</w:t>
      </w:r>
      <w:r w:rsidRPr="00EE19EA">
        <w:rPr>
          <w:rFonts w:ascii="Calibri" w:eastAsia="Calibri" w:hAnsi="Calibri" w:cs="Calibri"/>
          <w:lang w:val="es-ES"/>
        </w:rPr>
        <w:t>l</w:t>
      </w:r>
      <w:r w:rsidRPr="00EE19EA">
        <w:rPr>
          <w:rFonts w:ascii="Calibri" w:hAnsi="Calibri" w:cs="Calibri"/>
          <w:lang w:val="es-ES"/>
        </w:rPr>
        <w:t>aboración que el Instituto lleve a cabo con el Ejecutivo Federal</w:t>
      </w:r>
      <w:r w:rsidR="000250D0" w:rsidRPr="00EE19EA">
        <w:rPr>
          <w:rFonts w:ascii="Calibri" w:hAnsi="Calibri" w:cs="Calibri"/>
          <w:lang w:val="es-ES"/>
        </w:rPr>
        <w:t xml:space="preserve"> y con otros órganos de gobierno</w:t>
      </w:r>
      <w:r w:rsidR="00C95D56" w:rsidRPr="00EE19EA">
        <w:rPr>
          <w:rFonts w:ascii="Calibri" w:hAnsi="Calibri" w:cs="Calibri"/>
          <w:lang w:val="es-ES"/>
        </w:rPr>
        <w:t>;</w:t>
      </w:r>
    </w:p>
    <w:p w14:paraId="5292B6B2" w14:textId="77777777" w:rsidR="00C95D56" w:rsidRPr="00EE19EA" w:rsidRDefault="00C95D56" w:rsidP="00C57816">
      <w:pPr>
        <w:pStyle w:val="Prrafodelista"/>
        <w:spacing w:after="0" w:line="276" w:lineRule="auto"/>
        <w:ind w:left="1134"/>
        <w:jc w:val="both"/>
        <w:rPr>
          <w:rFonts w:ascii="Calibri" w:hAnsi="Calibri" w:cs="Calibri"/>
          <w:lang w:val="es-ES"/>
        </w:rPr>
      </w:pPr>
    </w:p>
    <w:p w14:paraId="4AA5DED5" w14:textId="5183894F" w:rsidR="00C95D56" w:rsidRPr="00EE19EA" w:rsidRDefault="00C95D56" w:rsidP="00C57816">
      <w:pPr>
        <w:pStyle w:val="Prrafodelista"/>
        <w:numPr>
          <w:ilvl w:val="0"/>
          <w:numId w:val="33"/>
        </w:numPr>
        <w:spacing w:after="0" w:line="276" w:lineRule="auto"/>
        <w:ind w:left="1134" w:hanging="567"/>
        <w:jc w:val="both"/>
        <w:rPr>
          <w:rFonts w:ascii="Calibri" w:hAnsi="Calibri" w:cs="Calibri"/>
          <w:lang w:val="es-ES"/>
        </w:rPr>
      </w:pPr>
      <w:r w:rsidRPr="00EE19EA">
        <w:rPr>
          <w:rFonts w:ascii="Calibri" w:hAnsi="Calibri" w:cs="Calibri"/>
          <w:lang w:val="es-ES"/>
        </w:rPr>
        <w:t>Identificar áreas de coordinación y colaboración con los integrantes del Comité para la promoción del desarrollo eficiente del entorno digital.</w:t>
      </w:r>
    </w:p>
    <w:p w14:paraId="71F7A726" w14:textId="77777777" w:rsidR="00E64E77" w:rsidRPr="00EE19EA" w:rsidRDefault="00E64E77" w:rsidP="00C57816">
      <w:pPr>
        <w:spacing w:after="0" w:line="276" w:lineRule="auto"/>
        <w:jc w:val="both"/>
        <w:rPr>
          <w:rFonts w:ascii="Calibri" w:hAnsi="Calibri" w:cs="Calibri"/>
          <w:lang w:val="es-ES"/>
        </w:rPr>
      </w:pPr>
    </w:p>
    <w:p w14:paraId="4D99C0C9" w14:textId="441B6493" w:rsidR="005A4BCA" w:rsidRPr="00EE19EA" w:rsidRDefault="005A4BCA"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En el ejercicio de estas funciones, el Comité debe</w:t>
      </w:r>
      <w:r w:rsidR="00B04B2B" w:rsidRPr="00EE19EA">
        <w:rPr>
          <w:rFonts w:ascii="Calibri" w:hAnsi="Calibri" w:cs="Calibri"/>
          <w:lang w:val="es-ES"/>
        </w:rPr>
        <w:t>rá</w:t>
      </w:r>
      <w:r w:rsidRPr="00EE19EA">
        <w:rPr>
          <w:rFonts w:ascii="Calibri" w:hAnsi="Calibri" w:cs="Calibri"/>
          <w:lang w:val="es-ES"/>
        </w:rPr>
        <w:t xml:space="preserve"> considerar las mejores prácticas internacionales en materia de </w:t>
      </w:r>
      <w:r w:rsidR="00355C35" w:rsidRPr="00EE19EA">
        <w:rPr>
          <w:rFonts w:ascii="Calibri" w:hAnsi="Calibri" w:cs="Calibri"/>
          <w:lang w:val="es-ES"/>
        </w:rPr>
        <w:t xml:space="preserve">gobernanza, </w:t>
      </w:r>
      <w:r w:rsidR="00C95D56" w:rsidRPr="00EE19EA">
        <w:rPr>
          <w:rFonts w:ascii="Calibri" w:hAnsi="Calibri" w:cs="Calibri"/>
          <w:lang w:val="es-ES"/>
        </w:rPr>
        <w:t>promoción de la innovación y competencia en el entorno digital</w:t>
      </w:r>
      <w:r w:rsidRPr="00EE19EA">
        <w:rPr>
          <w:rFonts w:ascii="Calibri" w:hAnsi="Calibri" w:cs="Calibri"/>
          <w:lang w:val="es-ES"/>
        </w:rPr>
        <w:t xml:space="preserve">. </w:t>
      </w:r>
    </w:p>
    <w:p w14:paraId="652494E1" w14:textId="77777777" w:rsidR="0021412A" w:rsidRPr="00EE19EA" w:rsidRDefault="0021412A" w:rsidP="00C57816">
      <w:pPr>
        <w:pStyle w:val="Prrafodelista"/>
        <w:tabs>
          <w:tab w:val="left" w:pos="8505"/>
        </w:tabs>
        <w:spacing w:after="0" w:line="276" w:lineRule="auto"/>
        <w:ind w:left="567" w:right="333"/>
        <w:jc w:val="both"/>
        <w:rPr>
          <w:rFonts w:ascii="Calibri" w:hAnsi="Calibri" w:cs="Calibri"/>
          <w:lang w:val="es-ES"/>
        </w:rPr>
      </w:pPr>
    </w:p>
    <w:p w14:paraId="13D5A3D4" w14:textId="6260BF27" w:rsidR="00C95D56" w:rsidRPr="00EE19EA" w:rsidRDefault="0021412A"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 xml:space="preserve">Igualmente, para facilitar la operación de este Comité, el Instituto podría crear un micrositio colaborativo, así como formar los grupos de trabajo que se consideren necesarios para el cumplimiento de sus funciones. Por ejemplo, grupos de trabajo sobre (i) ciberseguridad; (ii) </w:t>
      </w:r>
      <w:r w:rsidR="006F555A" w:rsidRPr="00EE19EA">
        <w:rPr>
          <w:rFonts w:ascii="Calibri" w:hAnsi="Calibri" w:cs="Calibri"/>
          <w:lang w:val="es-ES"/>
        </w:rPr>
        <w:t>datos; (iii) protección al consumidor</w:t>
      </w:r>
      <w:r w:rsidR="006B1983" w:rsidRPr="00EE19EA">
        <w:rPr>
          <w:rFonts w:ascii="Calibri" w:hAnsi="Calibri" w:cs="Calibri"/>
          <w:lang w:val="es-ES"/>
        </w:rPr>
        <w:t>;</w:t>
      </w:r>
      <w:r w:rsidR="006165FA" w:rsidRPr="00EE19EA">
        <w:rPr>
          <w:rFonts w:ascii="Calibri" w:hAnsi="Calibri" w:cs="Calibri"/>
          <w:lang w:val="es-ES"/>
        </w:rPr>
        <w:t xml:space="preserve"> y (iv) derechos humanos</w:t>
      </w:r>
      <w:r w:rsidR="006F555A" w:rsidRPr="00EE19EA">
        <w:rPr>
          <w:rFonts w:ascii="Calibri" w:hAnsi="Calibri" w:cs="Calibri"/>
          <w:lang w:val="es-ES"/>
        </w:rPr>
        <w:t>, parecerían adecuados.</w:t>
      </w:r>
    </w:p>
    <w:p w14:paraId="3345F2FA" w14:textId="77777777" w:rsidR="006F555A" w:rsidRPr="00EE19EA" w:rsidRDefault="006F555A" w:rsidP="00C57816">
      <w:pPr>
        <w:pStyle w:val="Prrafodelista"/>
        <w:spacing w:after="0" w:line="276" w:lineRule="auto"/>
        <w:rPr>
          <w:rFonts w:ascii="Calibri" w:hAnsi="Calibri" w:cs="Calibri"/>
          <w:lang w:val="es-ES"/>
        </w:rPr>
      </w:pPr>
    </w:p>
    <w:p w14:paraId="5436DF30" w14:textId="77777777" w:rsidR="009C3DBD" w:rsidRPr="00EE19EA" w:rsidRDefault="006F555A"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El Comité debe</w:t>
      </w:r>
      <w:r w:rsidR="00B04B2B" w:rsidRPr="00EE19EA">
        <w:rPr>
          <w:rFonts w:ascii="Calibri" w:hAnsi="Calibri" w:cs="Calibri"/>
          <w:lang w:val="es-ES"/>
        </w:rPr>
        <w:t>rá</w:t>
      </w:r>
      <w:r w:rsidRPr="00EE19EA">
        <w:rPr>
          <w:rFonts w:ascii="Calibri" w:hAnsi="Calibri" w:cs="Calibri"/>
          <w:lang w:val="es-ES"/>
        </w:rPr>
        <w:t xml:space="preserve"> operar de forma transparente y buscará la participación de todos los Entes Públicos relevantes en el establecimiento, desarrollo e implementación de temas que incidan en la promoción del desarrollo del entorno digital. </w:t>
      </w:r>
    </w:p>
    <w:p w14:paraId="581D2979" w14:textId="77777777" w:rsidR="009C3DBD" w:rsidRPr="00EE19EA" w:rsidRDefault="009C3DBD" w:rsidP="00C57816">
      <w:pPr>
        <w:pStyle w:val="Prrafodelista"/>
        <w:spacing w:after="0" w:line="276" w:lineRule="auto"/>
        <w:rPr>
          <w:rFonts w:ascii="Calibri" w:hAnsi="Calibri" w:cs="Calibri"/>
          <w:lang w:val="es-ES"/>
        </w:rPr>
      </w:pPr>
    </w:p>
    <w:p w14:paraId="3497813E" w14:textId="756ECEDA" w:rsidR="006F555A" w:rsidRPr="00EE19EA" w:rsidRDefault="00E66C82"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 xml:space="preserve">Para </w:t>
      </w:r>
      <w:r w:rsidR="00771285" w:rsidRPr="00EE19EA">
        <w:rPr>
          <w:rFonts w:ascii="Calibri" w:hAnsi="Calibri" w:cs="Calibri"/>
          <w:lang w:val="es-ES"/>
        </w:rPr>
        <w:t>estos fines</w:t>
      </w:r>
      <w:r w:rsidRPr="00EE19EA">
        <w:rPr>
          <w:rFonts w:ascii="Calibri" w:hAnsi="Calibri" w:cs="Calibri"/>
          <w:lang w:val="es-ES"/>
        </w:rPr>
        <w:t xml:space="preserve">, </w:t>
      </w:r>
      <w:r w:rsidR="00B04B2B" w:rsidRPr="00EE19EA">
        <w:rPr>
          <w:rFonts w:ascii="Calibri" w:hAnsi="Calibri" w:cs="Calibri"/>
          <w:lang w:val="es-ES"/>
        </w:rPr>
        <w:t xml:space="preserve">en las Reglas de Operación </w:t>
      </w:r>
      <w:r w:rsidRPr="00EE19EA">
        <w:rPr>
          <w:rFonts w:ascii="Calibri" w:hAnsi="Calibri" w:cs="Calibri"/>
          <w:lang w:val="es-ES"/>
        </w:rPr>
        <w:t>deberán establecerse</w:t>
      </w:r>
      <w:r w:rsidR="00074747" w:rsidRPr="00EE19EA">
        <w:rPr>
          <w:rFonts w:ascii="Calibri" w:hAnsi="Calibri" w:cs="Calibri"/>
          <w:lang w:val="es-ES"/>
        </w:rPr>
        <w:t>, entre otros,</w:t>
      </w:r>
      <w:r w:rsidRPr="00EE19EA">
        <w:rPr>
          <w:rFonts w:ascii="Calibri" w:hAnsi="Calibri" w:cs="Calibri"/>
          <w:lang w:val="es-ES"/>
        </w:rPr>
        <w:t xml:space="preserve"> </w:t>
      </w:r>
      <w:r w:rsidR="00771285" w:rsidRPr="00EE19EA">
        <w:rPr>
          <w:rFonts w:ascii="Calibri" w:hAnsi="Calibri" w:cs="Calibri"/>
          <w:lang w:val="es-ES"/>
        </w:rPr>
        <w:t xml:space="preserve">los siguientes elementos: </w:t>
      </w:r>
      <w:r w:rsidR="000F064D" w:rsidRPr="00EE19EA">
        <w:rPr>
          <w:rFonts w:ascii="Calibri" w:hAnsi="Calibri" w:cs="Calibri"/>
          <w:lang w:val="es-ES"/>
        </w:rPr>
        <w:t xml:space="preserve">(i) </w:t>
      </w:r>
      <w:r w:rsidR="00610CCE" w:rsidRPr="00EE19EA">
        <w:rPr>
          <w:rFonts w:ascii="Calibri" w:hAnsi="Calibri" w:cs="Calibri"/>
          <w:lang w:val="es-ES"/>
        </w:rPr>
        <w:t xml:space="preserve">reglas de toma de decisiones de los órganos internos; </w:t>
      </w:r>
      <w:r w:rsidR="000F064D" w:rsidRPr="00EE19EA">
        <w:rPr>
          <w:rFonts w:ascii="Calibri" w:hAnsi="Calibri" w:cs="Calibri"/>
          <w:lang w:val="es-ES"/>
        </w:rPr>
        <w:t xml:space="preserve">(ii) </w:t>
      </w:r>
      <w:r w:rsidR="00610CCE" w:rsidRPr="00EE19EA">
        <w:rPr>
          <w:rFonts w:ascii="Calibri" w:hAnsi="Calibri" w:cs="Calibri"/>
          <w:lang w:val="es-ES"/>
        </w:rPr>
        <w:t>mecanismos de rendición de cuentas</w:t>
      </w:r>
      <w:r w:rsidR="00074747" w:rsidRPr="00EE19EA">
        <w:rPr>
          <w:rFonts w:ascii="Calibri" w:hAnsi="Calibri" w:cs="Calibri"/>
          <w:lang w:val="es-ES"/>
        </w:rPr>
        <w:t>;</w:t>
      </w:r>
      <w:r w:rsidR="00AF634B">
        <w:rPr>
          <w:rFonts w:ascii="Calibri" w:hAnsi="Calibri" w:cs="Calibri"/>
          <w:lang w:val="es-ES"/>
        </w:rPr>
        <w:t xml:space="preserve"> y</w:t>
      </w:r>
      <w:r w:rsidR="00074747" w:rsidRPr="00EE19EA">
        <w:rPr>
          <w:rFonts w:ascii="Calibri" w:hAnsi="Calibri" w:cs="Calibri"/>
          <w:lang w:val="es-ES"/>
        </w:rPr>
        <w:t xml:space="preserve"> </w:t>
      </w:r>
      <w:r w:rsidR="00AF634B">
        <w:rPr>
          <w:rFonts w:ascii="Calibri" w:hAnsi="Calibri" w:cs="Calibri"/>
          <w:lang w:val="es-ES"/>
        </w:rPr>
        <w:t>(iii)</w:t>
      </w:r>
      <w:bookmarkStart w:id="3" w:name="_GoBack"/>
      <w:bookmarkEnd w:id="3"/>
      <w:r w:rsidR="000F064D" w:rsidRPr="00EE19EA">
        <w:rPr>
          <w:rFonts w:ascii="Calibri" w:hAnsi="Calibri" w:cs="Calibri"/>
          <w:lang w:val="es-ES"/>
        </w:rPr>
        <w:t xml:space="preserve"> </w:t>
      </w:r>
      <w:r w:rsidR="00074747" w:rsidRPr="00EE19EA">
        <w:rPr>
          <w:rFonts w:ascii="Calibri" w:hAnsi="Calibri" w:cs="Calibri"/>
          <w:lang w:val="es-ES"/>
        </w:rPr>
        <w:t>lista de facultades y derechos de participantes</w:t>
      </w:r>
      <w:r w:rsidR="000F064D" w:rsidRPr="00EE19EA">
        <w:rPr>
          <w:rFonts w:ascii="Calibri" w:hAnsi="Calibri" w:cs="Calibri"/>
          <w:lang w:val="es-ES"/>
        </w:rPr>
        <w:t>.</w:t>
      </w:r>
      <w:r w:rsidR="00074747" w:rsidRPr="00EE19EA">
        <w:rPr>
          <w:rFonts w:ascii="Calibri" w:hAnsi="Calibri" w:cs="Calibri"/>
          <w:lang w:val="es-ES"/>
        </w:rPr>
        <w:t xml:space="preserve"> </w:t>
      </w:r>
    </w:p>
    <w:p w14:paraId="3159ABBD" w14:textId="77777777" w:rsidR="003A6A7A" w:rsidRPr="00EE19EA" w:rsidRDefault="003A6A7A" w:rsidP="00C57816">
      <w:pPr>
        <w:pStyle w:val="Prrafodelista"/>
        <w:spacing w:after="0" w:line="276" w:lineRule="auto"/>
        <w:rPr>
          <w:rFonts w:ascii="Calibri" w:hAnsi="Calibri" w:cs="Calibri"/>
          <w:lang w:val="es-ES"/>
        </w:rPr>
      </w:pPr>
    </w:p>
    <w:p w14:paraId="4027E2A2" w14:textId="01BC2ED3" w:rsidR="00C95D56" w:rsidRPr="00EE19EA" w:rsidRDefault="006B03E8"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 xml:space="preserve">Igualmente, la participación de la </w:t>
      </w:r>
      <w:r w:rsidR="00046A83" w:rsidRPr="00EE19EA">
        <w:rPr>
          <w:rFonts w:ascii="Calibri" w:hAnsi="Calibri" w:cs="Calibri"/>
          <w:lang w:val="es-ES"/>
        </w:rPr>
        <w:t>industria</w:t>
      </w:r>
      <w:r w:rsidR="006165FA" w:rsidRPr="00EE19EA">
        <w:rPr>
          <w:rFonts w:ascii="Calibri" w:hAnsi="Calibri" w:cs="Calibri"/>
          <w:lang w:val="es-ES"/>
        </w:rPr>
        <w:t>,</w:t>
      </w:r>
      <w:r w:rsidRPr="00EE19EA">
        <w:rPr>
          <w:rFonts w:ascii="Calibri" w:hAnsi="Calibri" w:cs="Calibri"/>
          <w:lang w:val="es-ES"/>
        </w:rPr>
        <w:t xml:space="preserve"> la </w:t>
      </w:r>
      <w:r w:rsidR="00046A83" w:rsidRPr="00EE19EA">
        <w:rPr>
          <w:rFonts w:ascii="Calibri" w:hAnsi="Calibri" w:cs="Calibri"/>
          <w:lang w:val="es-ES"/>
        </w:rPr>
        <w:t xml:space="preserve">academia </w:t>
      </w:r>
      <w:r w:rsidR="006165FA" w:rsidRPr="00EE19EA">
        <w:rPr>
          <w:rFonts w:ascii="Calibri" w:hAnsi="Calibri" w:cs="Calibri"/>
          <w:lang w:val="es-ES"/>
        </w:rPr>
        <w:t xml:space="preserve">y la </w:t>
      </w:r>
      <w:r w:rsidR="00046A83" w:rsidRPr="00EE19EA">
        <w:rPr>
          <w:rFonts w:ascii="Calibri" w:hAnsi="Calibri" w:cs="Calibri"/>
          <w:lang w:val="es-ES"/>
        </w:rPr>
        <w:t>sociedad civil</w:t>
      </w:r>
      <w:r w:rsidRPr="00EE19EA">
        <w:rPr>
          <w:rFonts w:ascii="Calibri" w:hAnsi="Calibri" w:cs="Calibri"/>
          <w:lang w:val="es-ES"/>
        </w:rPr>
        <w:t xml:space="preserve">, deberá </w:t>
      </w:r>
      <w:r w:rsidR="006573DE" w:rsidRPr="00EE19EA">
        <w:rPr>
          <w:rFonts w:ascii="Calibri" w:hAnsi="Calibri" w:cs="Calibri"/>
          <w:lang w:val="es-ES"/>
        </w:rPr>
        <w:t xml:space="preserve">permanecer </w:t>
      </w:r>
      <w:r w:rsidRPr="00EE19EA">
        <w:rPr>
          <w:rFonts w:ascii="Calibri" w:hAnsi="Calibri" w:cs="Calibri"/>
          <w:lang w:val="es-ES"/>
        </w:rPr>
        <w:t>abierta de tal manera que, como en el caso del CETER, cualquier interesado pueda comunicar su intención de participar manifestando en los temas que puede participar y revelando sus lazos con cualquier agente que participe en el entorno digital</w:t>
      </w:r>
      <w:r w:rsidR="001269F8" w:rsidRPr="00EE19EA">
        <w:rPr>
          <w:rFonts w:ascii="Calibri" w:hAnsi="Calibri" w:cs="Calibri"/>
          <w:lang w:val="es-ES"/>
        </w:rPr>
        <w:t>.</w:t>
      </w:r>
    </w:p>
    <w:p w14:paraId="7373A8B4" w14:textId="77777777" w:rsidR="001269F8" w:rsidRPr="00EE19EA" w:rsidRDefault="001269F8" w:rsidP="00C57816">
      <w:pPr>
        <w:pStyle w:val="Prrafodelista"/>
        <w:spacing w:after="0" w:line="276" w:lineRule="auto"/>
        <w:rPr>
          <w:rFonts w:ascii="Calibri" w:hAnsi="Calibri" w:cs="Calibri"/>
          <w:lang w:val="es-ES"/>
        </w:rPr>
      </w:pPr>
    </w:p>
    <w:p w14:paraId="212544D7" w14:textId="7587B9CF" w:rsidR="005B1DEB" w:rsidRPr="00EE19EA" w:rsidRDefault="001269F8"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 xml:space="preserve">Para efectos de transparencia y rendición de cuentas, las </w:t>
      </w:r>
      <w:r w:rsidR="00B0435D" w:rsidRPr="00EE19EA">
        <w:rPr>
          <w:rFonts w:ascii="Calibri" w:hAnsi="Calibri" w:cs="Calibri"/>
          <w:lang w:val="es-ES"/>
        </w:rPr>
        <w:t xml:space="preserve">convocatorias, las actas de </w:t>
      </w:r>
      <w:r w:rsidRPr="00EE19EA">
        <w:rPr>
          <w:rFonts w:ascii="Calibri" w:hAnsi="Calibri" w:cs="Calibri"/>
          <w:lang w:val="es-ES"/>
        </w:rPr>
        <w:t xml:space="preserve">sesiones y </w:t>
      </w:r>
      <w:r w:rsidR="00B0435D" w:rsidRPr="00EE19EA">
        <w:rPr>
          <w:rFonts w:ascii="Calibri" w:hAnsi="Calibri" w:cs="Calibri"/>
          <w:lang w:val="es-ES"/>
        </w:rPr>
        <w:t xml:space="preserve">los </w:t>
      </w:r>
      <w:r w:rsidRPr="00EE19EA">
        <w:rPr>
          <w:rFonts w:ascii="Calibri" w:hAnsi="Calibri" w:cs="Calibri"/>
          <w:lang w:val="es-ES"/>
        </w:rPr>
        <w:t xml:space="preserve">acuerdos del </w:t>
      </w:r>
      <w:r w:rsidR="006165FA" w:rsidRPr="00EE19EA">
        <w:rPr>
          <w:rFonts w:ascii="Calibri" w:hAnsi="Calibri" w:cs="Calibri"/>
          <w:lang w:val="es-ES"/>
        </w:rPr>
        <w:t xml:space="preserve">COTEPEDI </w:t>
      </w:r>
      <w:r w:rsidR="008E4779" w:rsidRPr="00EE19EA">
        <w:rPr>
          <w:rFonts w:ascii="Calibri" w:hAnsi="Calibri" w:cs="Calibri"/>
          <w:lang w:val="es-ES"/>
        </w:rPr>
        <w:t xml:space="preserve">deberán ser </w:t>
      </w:r>
      <w:r w:rsidRPr="00EE19EA">
        <w:rPr>
          <w:rFonts w:ascii="Calibri" w:hAnsi="Calibri" w:cs="Calibri"/>
          <w:lang w:val="es-ES"/>
        </w:rPr>
        <w:t>publica</w:t>
      </w:r>
      <w:r w:rsidR="00222CC3" w:rsidRPr="00EE19EA">
        <w:rPr>
          <w:rFonts w:ascii="Calibri" w:hAnsi="Calibri" w:cs="Calibri"/>
          <w:lang w:val="es-ES"/>
        </w:rPr>
        <w:t xml:space="preserve">dos en el micrositio del </w:t>
      </w:r>
      <w:r w:rsidR="00A261E5" w:rsidRPr="00EE19EA">
        <w:rPr>
          <w:rFonts w:ascii="Calibri" w:hAnsi="Calibri" w:cs="Calibri"/>
          <w:lang w:val="es-ES"/>
        </w:rPr>
        <w:t>Comité,</w:t>
      </w:r>
      <w:r w:rsidR="00222CC3" w:rsidRPr="00EE19EA">
        <w:rPr>
          <w:rFonts w:ascii="Calibri" w:hAnsi="Calibri" w:cs="Calibri"/>
          <w:lang w:val="es-ES"/>
        </w:rPr>
        <w:t xml:space="preserve"> así como todos los documentos e información que permita dar seguimiento a sus labores.</w:t>
      </w:r>
    </w:p>
    <w:p w14:paraId="01A799A7" w14:textId="77777777" w:rsidR="00D974D5" w:rsidRPr="00EE19EA" w:rsidRDefault="00D974D5" w:rsidP="00C57816">
      <w:pPr>
        <w:pStyle w:val="Prrafodelista"/>
        <w:spacing w:line="276" w:lineRule="auto"/>
        <w:rPr>
          <w:rFonts w:ascii="Calibri" w:hAnsi="Calibri" w:cs="Calibri"/>
          <w:lang w:val="es-ES"/>
        </w:rPr>
      </w:pPr>
    </w:p>
    <w:p w14:paraId="72F02425" w14:textId="444655C7" w:rsidR="00D974D5" w:rsidRPr="00EE19EA" w:rsidRDefault="00D974D5" w:rsidP="00C57816">
      <w:pPr>
        <w:pStyle w:val="Prrafodelista"/>
        <w:numPr>
          <w:ilvl w:val="0"/>
          <w:numId w:val="23"/>
        </w:numPr>
        <w:tabs>
          <w:tab w:val="left" w:pos="8505"/>
        </w:tabs>
        <w:spacing w:after="0" w:line="276" w:lineRule="auto"/>
        <w:ind w:left="567" w:right="333" w:hanging="567"/>
        <w:jc w:val="both"/>
        <w:rPr>
          <w:rFonts w:ascii="Calibri" w:hAnsi="Calibri" w:cs="Calibri"/>
          <w:lang w:val="es-ES"/>
        </w:rPr>
      </w:pPr>
      <w:r w:rsidRPr="00EE19EA">
        <w:rPr>
          <w:rFonts w:ascii="Calibri" w:hAnsi="Calibri" w:cs="Calibri"/>
          <w:lang w:val="es-ES"/>
        </w:rPr>
        <w:t>Finalmente, la creación de esta instancia de colaboración debe ser si</w:t>
      </w:r>
      <w:r w:rsidR="008E4E26" w:rsidRPr="00EE19EA">
        <w:rPr>
          <w:rFonts w:ascii="Calibri" w:hAnsi="Calibri" w:cs="Calibri"/>
          <w:lang w:val="es-ES"/>
        </w:rPr>
        <w:t>n</w:t>
      </w:r>
      <w:r w:rsidRPr="00EE19EA">
        <w:rPr>
          <w:rFonts w:ascii="Calibri" w:hAnsi="Calibri" w:cs="Calibri"/>
          <w:lang w:val="es-ES"/>
        </w:rPr>
        <w:t xml:space="preserve"> perjuicio de otras actividades de colaboración y discusión de temas relevantes para el desarrollo integral del entorno digital.</w:t>
      </w:r>
    </w:p>
    <w:p w14:paraId="788669DF" w14:textId="5C08B6A9" w:rsidR="00585D93" w:rsidRDefault="00585D93" w:rsidP="00C57816">
      <w:pPr>
        <w:tabs>
          <w:tab w:val="left" w:pos="8505"/>
        </w:tabs>
        <w:spacing w:after="0" w:line="276" w:lineRule="auto"/>
        <w:ind w:right="333"/>
        <w:jc w:val="both"/>
        <w:rPr>
          <w:rFonts w:ascii="Calibri" w:hAnsi="Calibri" w:cs="Calibri"/>
          <w:lang w:val="es-ES"/>
        </w:rPr>
      </w:pPr>
    </w:p>
    <w:p w14:paraId="5554569F" w14:textId="08C8587E" w:rsidR="00C57816" w:rsidRDefault="00C57816" w:rsidP="00C57816">
      <w:pPr>
        <w:tabs>
          <w:tab w:val="left" w:pos="8505"/>
        </w:tabs>
        <w:spacing w:after="0" w:line="276" w:lineRule="auto"/>
        <w:ind w:right="333"/>
        <w:jc w:val="both"/>
        <w:rPr>
          <w:rFonts w:ascii="Calibri" w:hAnsi="Calibri" w:cs="Calibri"/>
          <w:lang w:val="es-ES"/>
        </w:rPr>
      </w:pPr>
    </w:p>
    <w:p w14:paraId="08F79A5E" w14:textId="77777777" w:rsidR="00C57816" w:rsidRPr="00EE19EA" w:rsidRDefault="00C57816" w:rsidP="00C57816">
      <w:pPr>
        <w:tabs>
          <w:tab w:val="left" w:pos="8505"/>
        </w:tabs>
        <w:spacing w:after="0" w:line="276" w:lineRule="auto"/>
        <w:ind w:right="333"/>
        <w:jc w:val="both"/>
        <w:rPr>
          <w:rFonts w:ascii="Calibri" w:hAnsi="Calibri" w:cs="Calibri"/>
          <w:lang w:val="es-ES"/>
        </w:rPr>
      </w:pPr>
    </w:p>
    <w:p w14:paraId="5590EA1C" w14:textId="77777777" w:rsidR="00C57816" w:rsidRPr="00C57816" w:rsidRDefault="00C57816" w:rsidP="00C57816">
      <w:pPr>
        <w:spacing w:line="360" w:lineRule="auto"/>
        <w:ind w:left="2127" w:hanging="1418"/>
        <w:contextualSpacing/>
        <w:jc w:val="both"/>
        <w:rPr>
          <w:rFonts w:ascii="Calibri" w:hAnsi="Calibri" w:cs="Helvetica"/>
          <w:color w:val="000000" w:themeColor="text1"/>
          <w:lang w:val="es-ES_tradnl"/>
        </w:rPr>
      </w:pPr>
    </w:p>
    <w:p w14:paraId="337227A3" w14:textId="77777777" w:rsidR="00C57816" w:rsidRPr="00C57816" w:rsidRDefault="00C57816" w:rsidP="00C57816">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noProof/>
          <w:lang w:eastAsia="es-MX"/>
        </w:rPr>
        <w:drawing>
          <wp:inline distT="0" distB="0" distL="0" distR="0" wp14:anchorId="4BCFA5B2" wp14:editId="78147A33">
            <wp:extent cx="895350" cy="876300"/>
            <wp:effectExtent l="0" t="0" r="0" b="0"/>
            <wp:docPr id="1" name="Imagen 1" descr="d:\Users\arlene.ameneyro\AppData\Local\Microsoft\Windows\INetCache\Content.Outlook\AN2XQDMX\firma eflores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lene.ameneyro\AppData\Local\Microsoft\Windows\INetCache\Content.Outlook\AN2XQDMX\firma efloresrou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p w14:paraId="3D676E88" w14:textId="77777777" w:rsidR="00C57816" w:rsidRPr="00C57816" w:rsidRDefault="00C57816" w:rsidP="00C57816">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 xml:space="preserve">Dr. Ernesto M. Flores-Roux </w:t>
      </w:r>
    </w:p>
    <w:p w14:paraId="44083AD6" w14:textId="77777777" w:rsidR="00C57816" w:rsidRPr="00C57816" w:rsidRDefault="00C57816" w:rsidP="00C57816">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Presidente</w:t>
      </w:r>
    </w:p>
    <w:p w14:paraId="3EAC0998" w14:textId="2D8B92C1" w:rsidR="00C57816" w:rsidRPr="00C57816" w:rsidRDefault="00C57816" w:rsidP="00C57816">
      <w:pPr>
        <w:autoSpaceDE w:val="0"/>
        <w:autoSpaceDN w:val="0"/>
        <w:adjustRightInd w:val="0"/>
        <w:spacing w:before="240"/>
        <w:rPr>
          <w:rFonts w:ascii="Calibri" w:eastAsia="Calibri" w:hAnsi="Calibri" w:cs="Calibri"/>
          <w:b/>
          <w:bCs/>
        </w:rPr>
      </w:pPr>
    </w:p>
    <w:p w14:paraId="68D4AC57" w14:textId="77777777" w:rsidR="00C57816" w:rsidRPr="00C57816" w:rsidRDefault="00C57816" w:rsidP="00C57816">
      <w:pPr>
        <w:autoSpaceDE w:val="0"/>
        <w:autoSpaceDN w:val="0"/>
        <w:adjustRightInd w:val="0"/>
        <w:spacing w:before="240"/>
        <w:rPr>
          <w:rFonts w:ascii="Calibri" w:eastAsia="Calibri" w:hAnsi="Calibri" w:cs="Calibri"/>
          <w:b/>
          <w:bCs/>
        </w:rPr>
      </w:pPr>
    </w:p>
    <w:p w14:paraId="41E483C9" w14:textId="77777777" w:rsidR="00C57816" w:rsidRPr="00C57816" w:rsidRDefault="00C57816" w:rsidP="00C57816">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Lic. Juan José Crispín Borbolla</w:t>
      </w:r>
    </w:p>
    <w:p w14:paraId="76A08B5C" w14:textId="77777777" w:rsidR="00C57816" w:rsidRPr="00C57816" w:rsidRDefault="00C57816" w:rsidP="00C57816">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Secretario</w:t>
      </w:r>
    </w:p>
    <w:p w14:paraId="080F445B" w14:textId="77777777" w:rsidR="00C57816" w:rsidRPr="00C57816" w:rsidRDefault="00C57816" w:rsidP="00C57816">
      <w:pPr>
        <w:jc w:val="both"/>
        <w:rPr>
          <w:rFonts w:ascii="Calibri" w:hAnsi="Calibri" w:cs="Calibri"/>
          <w:sz w:val="16"/>
          <w:szCs w:val="16"/>
          <w:lang w:val="es-ES"/>
        </w:rPr>
      </w:pPr>
    </w:p>
    <w:p w14:paraId="4CBE1B51" w14:textId="77777777" w:rsidR="00C57816" w:rsidRPr="00C57816" w:rsidRDefault="00C57816" w:rsidP="00C57816">
      <w:pPr>
        <w:jc w:val="both"/>
        <w:rPr>
          <w:rFonts w:ascii="Calibri" w:hAnsi="Calibri" w:cs="Calibri"/>
          <w:sz w:val="16"/>
          <w:szCs w:val="16"/>
          <w:lang w:val="es-ES"/>
        </w:rPr>
      </w:pPr>
    </w:p>
    <w:p w14:paraId="189A39BE" w14:textId="49401879" w:rsidR="00C57816" w:rsidRDefault="00C57816" w:rsidP="00C57816">
      <w:pPr>
        <w:jc w:val="both"/>
        <w:rPr>
          <w:rFonts w:ascii="Calibri" w:hAnsi="Calibri" w:cs="Calibri"/>
          <w:sz w:val="16"/>
          <w:szCs w:val="16"/>
          <w:lang w:val="es-ES"/>
        </w:rPr>
      </w:pPr>
    </w:p>
    <w:p w14:paraId="24D221E0" w14:textId="77777777" w:rsidR="00C57816" w:rsidRPr="00C57816" w:rsidRDefault="00C57816" w:rsidP="00C57816">
      <w:pPr>
        <w:jc w:val="both"/>
        <w:rPr>
          <w:rFonts w:ascii="Calibri" w:hAnsi="Calibri" w:cs="Calibri"/>
          <w:sz w:val="16"/>
          <w:szCs w:val="16"/>
          <w:lang w:val="es-ES"/>
        </w:rPr>
      </w:pPr>
    </w:p>
    <w:p w14:paraId="6BA59EF2" w14:textId="2A0C8279" w:rsidR="00C57816" w:rsidRPr="00C57816" w:rsidRDefault="00C57816" w:rsidP="00C57816">
      <w:pPr>
        <w:jc w:val="both"/>
        <w:rPr>
          <w:rFonts w:ascii="Calibri" w:hAnsi="Calibri" w:cs="Arial"/>
          <w:sz w:val="16"/>
          <w:szCs w:val="16"/>
        </w:rPr>
      </w:pPr>
      <w:r w:rsidRPr="00C57816">
        <w:rPr>
          <w:rFonts w:ascii="Calibri" w:hAnsi="Calibri" w:cs="Calibri"/>
          <w:sz w:val="16"/>
          <w:szCs w:val="16"/>
          <w:lang w:val="es-ES"/>
        </w:rPr>
        <w:t xml:space="preserve">La Recomendación fue aprobada por el Consejo Consultivo del Instituto Federal de Telecomunicaciones por unanimidad de votos de los Consejeros presentes: </w:t>
      </w:r>
      <w:r w:rsidRPr="00C57816">
        <w:rPr>
          <w:rFonts w:ascii="Calibri" w:hAnsi="Calibri" w:cs="Arial"/>
          <w:sz w:val="16"/>
          <w:szCs w:val="16"/>
          <w:lang w:val="es-ES"/>
        </w:rPr>
        <w:t xml:space="preserve">María Cristina Capelo Lanz, María Cristina Cárdenas Peralta, </w:t>
      </w:r>
      <w:r w:rsidRPr="00C57816">
        <w:rPr>
          <w:rFonts w:ascii="Calibri" w:hAnsi="Calibri" w:cs="Arial"/>
          <w:sz w:val="16"/>
          <w:szCs w:val="16"/>
        </w:rPr>
        <w:t>Sara Gabriela Castellanos Pascacio, Ernesto M. Flores-Roux, Gerardo Francisco González Abarca, Santiago Gutiérrez Fernández, Erik Huesca Morales, Elisa V. Mariscal Medina, Luis Miguel Martínez Cervantes</w:t>
      </w:r>
      <w:r>
        <w:rPr>
          <w:rFonts w:ascii="Calibri" w:hAnsi="Calibri" w:cs="Arial"/>
          <w:sz w:val="16"/>
          <w:szCs w:val="16"/>
        </w:rPr>
        <w:t xml:space="preserve">, </w:t>
      </w:r>
      <w:r w:rsidRPr="00C57816">
        <w:rPr>
          <w:rFonts w:ascii="Calibri" w:hAnsi="Calibri" w:cs="Arial"/>
          <w:sz w:val="16"/>
          <w:szCs w:val="16"/>
        </w:rPr>
        <w:t>Jorge Fernando Negrete Pacheco, Lucía Ojeda Cárdenas, Armida Sánchez Arellano y Primavera Téllez Girón García, en su VII Sesión Ordinaria celebrada el 12 de septiembre de 2019, me</w:t>
      </w:r>
      <w:r>
        <w:rPr>
          <w:rFonts w:ascii="Calibri" w:hAnsi="Calibri" w:cs="Arial"/>
          <w:sz w:val="16"/>
          <w:szCs w:val="16"/>
        </w:rPr>
        <w:t>diante Acuerdo CC/IFT/120919/12</w:t>
      </w:r>
      <w:r w:rsidRPr="00C57816">
        <w:rPr>
          <w:rFonts w:ascii="Calibri" w:hAnsi="Calibri" w:cs="Arial"/>
          <w:sz w:val="16"/>
          <w:szCs w:val="16"/>
        </w:rPr>
        <w:t>.</w:t>
      </w:r>
    </w:p>
    <w:p w14:paraId="0D95C061" w14:textId="01AE78C5" w:rsidR="00ED4752" w:rsidRPr="00EE19EA" w:rsidRDefault="00ED4752" w:rsidP="00C57816">
      <w:pPr>
        <w:spacing w:after="0" w:line="276" w:lineRule="auto"/>
        <w:rPr>
          <w:rFonts w:ascii="Calibri" w:hAnsi="Calibri" w:cs="Calibri"/>
          <w:lang w:val="es-ES"/>
        </w:rPr>
      </w:pPr>
    </w:p>
    <w:sectPr w:rsidR="00ED4752" w:rsidRPr="00EE19EA" w:rsidSect="00F96DA1">
      <w:headerReference w:type="even" r:id="rId9"/>
      <w:headerReference w:type="default" r:id="rId10"/>
      <w:footerReference w:type="default" r:id="rId11"/>
      <w:headerReference w:type="first" r:id="rId12"/>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3EBA" w14:textId="77777777" w:rsidR="00130D0F" w:rsidRDefault="00130D0F" w:rsidP="00F60C09">
      <w:pPr>
        <w:spacing w:after="0"/>
      </w:pPr>
      <w:r>
        <w:separator/>
      </w:r>
    </w:p>
  </w:endnote>
  <w:endnote w:type="continuationSeparator" w:id="0">
    <w:p w14:paraId="3E77BF81" w14:textId="77777777" w:rsidR="00130D0F" w:rsidRDefault="00130D0F"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25099"/>
      <w:docPartObj>
        <w:docPartGallery w:val="Page Numbers (Bottom of Page)"/>
        <w:docPartUnique/>
      </w:docPartObj>
    </w:sdtPr>
    <w:sdtEndPr>
      <w:rPr>
        <w:rFonts w:asciiTheme="majorHAnsi" w:hAnsiTheme="majorHAnsi" w:cstheme="majorHAnsi"/>
        <w:sz w:val="16"/>
        <w:szCs w:val="16"/>
      </w:rPr>
    </w:sdtEndPr>
    <w:sdtContent>
      <w:p w14:paraId="3452C264" w14:textId="159D49B8" w:rsidR="004A36EB" w:rsidRPr="00C47843" w:rsidRDefault="004A36E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AF634B" w:rsidRPr="00AF634B">
          <w:rPr>
            <w:rFonts w:asciiTheme="majorHAnsi" w:hAnsiTheme="majorHAnsi" w:cstheme="majorHAnsi"/>
            <w:noProof/>
            <w:sz w:val="16"/>
            <w:szCs w:val="16"/>
            <w:lang w:val="es-ES"/>
          </w:rPr>
          <w:t>6</w:t>
        </w:r>
        <w:r w:rsidRPr="00C47843">
          <w:rPr>
            <w:rFonts w:asciiTheme="majorHAnsi" w:hAnsiTheme="majorHAnsi" w:cstheme="majorHAnsi"/>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5616" w14:textId="77777777" w:rsidR="00130D0F" w:rsidRDefault="00130D0F" w:rsidP="00F60C09">
      <w:pPr>
        <w:spacing w:after="0"/>
      </w:pPr>
      <w:r>
        <w:separator/>
      </w:r>
    </w:p>
  </w:footnote>
  <w:footnote w:type="continuationSeparator" w:id="0">
    <w:p w14:paraId="71DB41F5" w14:textId="77777777" w:rsidR="00130D0F" w:rsidRDefault="00130D0F" w:rsidP="00F60C09">
      <w:pPr>
        <w:spacing w:after="0"/>
      </w:pPr>
      <w:r>
        <w:continuationSeparator/>
      </w:r>
    </w:p>
  </w:footnote>
  <w:footnote w:id="1">
    <w:p w14:paraId="5FFAF68D" w14:textId="09D1FC0D" w:rsidR="000E6201" w:rsidRPr="00EE19EA" w:rsidRDefault="000E6201" w:rsidP="00AC5FAC">
      <w:pPr>
        <w:jc w:val="both"/>
        <w:rPr>
          <w:rFonts w:ascii="Calibri" w:hAnsi="Calibri"/>
          <w:bCs/>
          <w:sz w:val="18"/>
          <w:szCs w:val="18"/>
        </w:rPr>
      </w:pPr>
      <w:r w:rsidRPr="00EE19EA">
        <w:rPr>
          <w:rStyle w:val="Refdenotaalpie"/>
          <w:rFonts w:ascii="Calibri" w:hAnsi="Calibri"/>
          <w:sz w:val="18"/>
          <w:szCs w:val="18"/>
        </w:rPr>
        <w:footnoteRef/>
      </w:r>
      <w:r w:rsidRPr="00EE19EA">
        <w:rPr>
          <w:rFonts w:ascii="Calibri" w:hAnsi="Calibri"/>
          <w:sz w:val="18"/>
          <w:szCs w:val="18"/>
        </w:rPr>
        <w:t xml:space="preserve"> </w:t>
      </w:r>
      <w:r w:rsidR="00AC5FAC" w:rsidRPr="00EE19EA">
        <w:rPr>
          <w:rFonts w:ascii="Calibri" w:hAnsi="Calibri"/>
          <w:bCs/>
          <w:sz w:val="18"/>
          <w:szCs w:val="18"/>
        </w:rPr>
        <w:t>RECOMENDACIÓN QUE EMITE EL CONSEJO CONSULTIVO DEL INSTITUTO FEDERAL DE TELECOMUNICACIONES SOBRE LA IMPORTANCIA DE LA PRONTA ADOPCIÓN DE UNA AGENDA INTEGRAL PARA LA PROMOCIÓN DE LA INNOVACIÓN Y COMPETENCIA EN EL ENTORNO DIGITAL Y QUE IDENTIFICA ACCIONES INMEDIATAS QUE EL INSTITUTO PODRÍA CONSIDERAR PARA EFECTOS DEL IMPULSO, DESARROLLO E IMPLEMENTACIÓN DE LA MISMA.</w:t>
      </w:r>
    </w:p>
  </w:footnote>
  <w:footnote w:id="2">
    <w:p w14:paraId="2FC6B353" w14:textId="77777777" w:rsidR="00895106" w:rsidRDefault="00895106" w:rsidP="00895106">
      <w:pPr>
        <w:spacing w:after="0"/>
        <w:rPr>
          <w:rFonts w:ascii="Questrial" w:eastAsia="Questrial" w:hAnsi="Questrial" w:cs="Questrial"/>
          <w:color w:val="000000"/>
          <w:sz w:val="20"/>
          <w:szCs w:val="20"/>
          <w:lang w:eastAsia="es-MX"/>
        </w:rPr>
      </w:pPr>
      <w:r w:rsidRPr="00EE19EA">
        <w:rPr>
          <w:rFonts w:ascii="Calibri" w:hAnsi="Calibri"/>
          <w:sz w:val="18"/>
          <w:szCs w:val="18"/>
          <w:vertAlign w:val="superscript"/>
        </w:rPr>
        <w:footnoteRef/>
      </w:r>
      <w:r w:rsidRPr="00EE19EA">
        <w:rPr>
          <w:rFonts w:ascii="Calibri" w:eastAsia="Questrial" w:hAnsi="Calibri" w:cs="Questrial"/>
          <w:color w:val="000000"/>
          <w:sz w:val="18"/>
          <w:szCs w:val="18"/>
        </w:rPr>
        <w:t xml:space="preserve"> El sitio está disponible en: </w:t>
      </w:r>
      <w:hyperlink r:id="rId1" w:history="1">
        <w:r w:rsidRPr="00EE19EA">
          <w:rPr>
            <w:rStyle w:val="Hipervnculo"/>
            <w:rFonts w:ascii="Calibri" w:eastAsia="Questrial" w:hAnsi="Calibri" w:cs="Questrial"/>
            <w:color w:val="0000FF"/>
            <w:sz w:val="18"/>
            <w:szCs w:val="18"/>
          </w:rPr>
          <w:t>http://cter.ift.org.mx/dashboard</w:t>
        </w:r>
      </w:hyperlink>
      <w:r>
        <w:rPr>
          <w:rFonts w:ascii="Questrial" w:eastAsia="Questrial" w:hAnsi="Questrial" w:cs="Questrial"/>
          <w:color w:val="000000"/>
          <w:sz w:val="20"/>
          <w:szCs w:val="20"/>
        </w:rPr>
        <w:t xml:space="preserve"> </w:t>
      </w:r>
    </w:p>
  </w:footnote>
  <w:footnote w:id="3">
    <w:p w14:paraId="3ACB9618" w14:textId="4EEE8296" w:rsidR="00C54B6A" w:rsidRPr="00C57816" w:rsidRDefault="00C54B6A" w:rsidP="00E44017">
      <w:pPr>
        <w:tabs>
          <w:tab w:val="left" w:pos="0"/>
        </w:tabs>
        <w:spacing w:after="0"/>
        <w:ind w:left="284" w:hanging="284"/>
        <w:jc w:val="both"/>
        <w:rPr>
          <w:rFonts w:ascii="Calibri" w:hAnsi="Calibri" w:cs="Calibri"/>
          <w:sz w:val="18"/>
          <w:szCs w:val="18"/>
        </w:rPr>
      </w:pPr>
      <w:r w:rsidRPr="00C57816">
        <w:rPr>
          <w:rStyle w:val="Refdenotaalpie"/>
          <w:rFonts w:ascii="Calibri" w:hAnsi="Calibri" w:cs="Calibri"/>
          <w:sz w:val="18"/>
          <w:szCs w:val="18"/>
        </w:rPr>
        <w:footnoteRef/>
      </w:r>
      <w:r w:rsidRPr="00C57816">
        <w:rPr>
          <w:rFonts w:ascii="Calibri" w:hAnsi="Calibri" w:cs="Calibri"/>
          <w:sz w:val="18"/>
          <w:szCs w:val="18"/>
        </w:rPr>
        <w:t xml:space="preserve"> </w:t>
      </w:r>
      <w:r w:rsidRPr="00C57816">
        <w:rPr>
          <w:rFonts w:ascii="Calibri" w:hAnsi="Calibri" w:cs="Calibri"/>
          <w:sz w:val="18"/>
          <w:szCs w:val="18"/>
        </w:rPr>
        <w:tab/>
        <w:t xml:space="preserve">Tesis: P./J. 98/2011 (9ª.), Pleno, Gaceta del Semanario Judicial de la Federación, Novena Época, Registro 1001339, Tomo I., p. 522, Jurisprudencia (Constitucional). </w:t>
      </w:r>
    </w:p>
  </w:footnote>
  <w:footnote w:id="4">
    <w:p w14:paraId="2F49E013" w14:textId="143DAC1F" w:rsidR="00C54B6A" w:rsidRPr="00C57816" w:rsidRDefault="00C54B6A" w:rsidP="00C54B6A">
      <w:pPr>
        <w:tabs>
          <w:tab w:val="left" w:pos="0"/>
        </w:tabs>
        <w:spacing w:after="0"/>
        <w:ind w:left="284" w:hanging="284"/>
        <w:jc w:val="both"/>
        <w:rPr>
          <w:rFonts w:ascii="Calibri" w:hAnsi="Calibri" w:cs="Calibri"/>
          <w:sz w:val="18"/>
          <w:szCs w:val="18"/>
          <w:lang w:val="es-ES"/>
        </w:rPr>
      </w:pPr>
      <w:r w:rsidRPr="00C57816">
        <w:rPr>
          <w:rFonts w:ascii="Calibri" w:hAnsi="Calibri" w:cs="Calibri"/>
          <w:sz w:val="18"/>
          <w:szCs w:val="18"/>
          <w:vertAlign w:val="superscript"/>
          <w:lang w:val="es-ES"/>
        </w:rPr>
        <w:footnoteRef/>
      </w:r>
      <w:r w:rsidRPr="00C57816">
        <w:rPr>
          <w:rFonts w:ascii="Calibri" w:hAnsi="Calibri" w:cs="Calibri"/>
          <w:sz w:val="18"/>
          <w:szCs w:val="18"/>
          <w:lang w:val="es-ES"/>
        </w:rPr>
        <w:t xml:space="preserve"> </w:t>
      </w:r>
      <w:r w:rsidRPr="00C57816">
        <w:rPr>
          <w:rFonts w:ascii="Calibri" w:hAnsi="Calibri" w:cs="Calibri"/>
          <w:sz w:val="18"/>
          <w:szCs w:val="18"/>
          <w:lang w:val="es-ES"/>
        </w:rPr>
        <w:tab/>
        <w:t xml:space="preserve">Tesis: P./J. 43/2015 (10ª.), Pleno, Gaceta del Semanario Judicial de la Federación, Libro 15, </w:t>
      </w:r>
      <w:r w:rsidR="00507880" w:rsidRPr="00C57816">
        <w:rPr>
          <w:rFonts w:ascii="Calibri" w:hAnsi="Calibri" w:cs="Calibri"/>
          <w:sz w:val="18"/>
          <w:szCs w:val="18"/>
          <w:lang w:val="es-ES"/>
        </w:rPr>
        <w:t>diciembre</w:t>
      </w:r>
      <w:r w:rsidRPr="00C57816">
        <w:rPr>
          <w:rFonts w:ascii="Calibri" w:hAnsi="Calibri" w:cs="Calibri"/>
          <w:sz w:val="18"/>
          <w:szCs w:val="18"/>
          <w:lang w:val="es-ES"/>
        </w:rPr>
        <w:t xml:space="preserve"> de 2015, Pág. 37. </w:t>
      </w:r>
    </w:p>
    <w:p w14:paraId="40260C13" w14:textId="77777777" w:rsidR="00C54B6A" w:rsidRPr="00C54B6A" w:rsidRDefault="00C54B6A" w:rsidP="00C54B6A">
      <w:pPr>
        <w:pStyle w:val="Textonotapie"/>
        <w:tabs>
          <w:tab w:val="left" w:pos="0"/>
        </w:tabs>
        <w:ind w:left="284" w:hanging="284"/>
        <w:jc w:val="both"/>
        <w:rPr>
          <w:rFonts w:ascii="Arial" w:hAnsi="Arial" w:cs="Arial"/>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130D0F">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130D0F"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66.15pt;margin-top:-93.2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130D0F">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B595BEB"/>
    <w:multiLevelType w:val="hybridMultilevel"/>
    <w:tmpl w:val="3C5AC508"/>
    <w:lvl w:ilvl="0" w:tplc="69044E22">
      <w:start w:val="1"/>
      <w:numFmt w:val="decimal"/>
      <w:lvlText w:val="%1."/>
      <w:lvlJc w:val="left"/>
      <w:pPr>
        <w:ind w:left="1211"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210375"/>
    <w:multiLevelType w:val="hybridMultilevel"/>
    <w:tmpl w:val="53D8F790"/>
    <w:lvl w:ilvl="0" w:tplc="F0663854">
      <w:start w:val="1"/>
      <w:numFmt w:val="lowerLetter"/>
      <w:lvlText w:val="%1."/>
      <w:lvlJc w:val="left"/>
      <w:pPr>
        <w:ind w:left="1571" w:hanging="360"/>
      </w:pPr>
      <w:rPr>
        <w:rFonts w:ascii="Calibri" w:eastAsiaTheme="minorEastAsia" w:hAnsi="Calibri" w:cs="Calibr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4"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0"/>
  </w:num>
  <w:num w:numId="4">
    <w:abstractNumId w:val="17"/>
  </w:num>
  <w:num w:numId="5">
    <w:abstractNumId w:val="0"/>
  </w:num>
  <w:num w:numId="6">
    <w:abstractNumId w:val="16"/>
  </w:num>
  <w:num w:numId="7">
    <w:abstractNumId w:val="10"/>
  </w:num>
  <w:num w:numId="8">
    <w:abstractNumId w:val="25"/>
  </w:num>
  <w:num w:numId="9">
    <w:abstractNumId w:val="3"/>
  </w:num>
  <w:num w:numId="10">
    <w:abstractNumId w:val="27"/>
  </w:num>
  <w:num w:numId="11">
    <w:abstractNumId w:val="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11"/>
  </w:num>
  <w:num w:numId="21">
    <w:abstractNumId w:val="26"/>
  </w:num>
  <w:num w:numId="22">
    <w:abstractNumId w:val="21"/>
  </w:num>
  <w:num w:numId="23">
    <w:abstractNumId w:val="6"/>
  </w:num>
  <w:num w:numId="24">
    <w:abstractNumId w:val="7"/>
  </w:num>
  <w:num w:numId="25">
    <w:abstractNumId w:val="29"/>
  </w:num>
  <w:num w:numId="26">
    <w:abstractNumId w:val="1"/>
  </w:num>
  <w:num w:numId="27">
    <w:abstractNumId w:val="9"/>
  </w:num>
  <w:num w:numId="28">
    <w:abstractNumId w:val="2"/>
  </w:num>
  <w:num w:numId="29">
    <w:abstractNumId w:val="8"/>
  </w:num>
  <w:num w:numId="30">
    <w:abstractNumId w:val="13"/>
  </w:num>
  <w:num w:numId="31">
    <w:abstractNumId w:val="24"/>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2B5B"/>
    <w:rsid w:val="00024E56"/>
    <w:rsid w:val="000250D0"/>
    <w:rsid w:val="00026E43"/>
    <w:rsid w:val="00030DBF"/>
    <w:rsid w:val="00032909"/>
    <w:rsid w:val="0003320E"/>
    <w:rsid w:val="000425FF"/>
    <w:rsid w:val="00043328"/>
    <w:rsid w:val="000463CC"/>
    <w:rsid w:val="00046A83"/>
    <w:rsid w:val="00052359"/>
    <w:rsid w:val="00062C50"/>
    <w:rsid w:val="00071A7D"/>
    <w:rsid w:val="00074047"/>
    <w:rsid w:val="00074747"/>
    <w:rsid w:val="00082085"/>
    <w:rsid w:val="00086A6F"/>
    <w:rsid w:val="00086FD1"/>
    <w:rsid w:val="000B72C9"/>
    <w:rsid w:val="000C621A"/>
    <w:rsid w:val="000C7FD5"/>
    <w:rsid w:val="000D6371"/>
    <w:rsid w:val="000D6709"/>
    <w:rsid w:val="000E1BFE"/>
    <w:rsid w:val="000E6201"/>
    <w:rsid w:val="000F064D"/>
    <w:rsid w:val="00103BA0"/>
    <w:rsid w:val="00103E31"/>
    <w:rsid w:val="00110CAB"/>
    <w:rsid w:val="0011196F"/>
    <w:rsid w:val="00116AFF"/>
    <w:rsid w:val="00121495"/>
    <w:rsid w:val="001269F8"/>
    <w:rsid w:val="00130D0F"/>
    <w:rsid w:val="001337D9"/>
    <w:rsid w:val="00150993"/>
    <w:rsid w:val="00152402"/>
    <w:rsid w:val="00157125"/>
    <w:rsid w:val="001646A2"/>
    <w:rsid w:val="001706CA"/>
    <w:rsid w:val="00171C65"/>
    <w:rsid w:val="001736AA"/>
    <w:rsid w:val="00195ACD"/>
    <w:rsid w:val="001A4482"/>
    <w:rsid w:val="001B4763"/>
    <w:rsid w:val="001B4C2F"/>
    <w:rsid w:val="001B5756"/>
    <w:rsid w:val="001B6951"/>
    <w:rsid w:val="001C3433"/>
    <w:rsid w:val="001D030B"/>
    <w:rsid w:val="001D29E7"/>
    <w:rsid w:val="001E24D2"/>
    <w:rsid w:val="001F08BF"/>
    <w:rsid w:val="001F4604"/>
    <w:rsid w:val="0021412A"/>
    <w:rsid w:val="00214199"/>
    <w:rsid w:val="00215AA0"/>
    <w:rsid w:val="00216556"/>
    <w:rsid w:val="00222CC3"/>
    <w:rsid w:val="00225725"/>
    <w:rsid w:val="00235426"/>
    <w:rsid w:val="00252B1E"/>
    <w:rsid w:val="00261E71"/>
    <w:rsid w:val="00282C65"/>
    <w:rsid w:val="002A0A78"/>
    <w:rsid w:val="002A7D27"/>
    <w:rsid w:val="002B55F4"/>
    <w:rsid w:val="002C2DF4"/>
    <w:rsid w:val="002D4707"/>
    <w:rsid w:val="002D7040"/>
    <w:rsid w:val="002E0126"/>
    <w:rsid w:val="002F2F10"/>
    <w:rsid w:val="002F613D"/>
    <w:rsid w:val="0031158E"/>
    <w:rsid w:val="00314401"/>
    <w:rsid w:val="003167F7"/>
    <w:rsid w:val="0032270D"/>
    <w:rsid w:val="00340E17"/>
    <w:rsid w:val="003432C0"/>
    <w:rsid w:val="00344B65"/>
    <w:rsid w:val="00355C35"/>
    <w:rsid w:val="0035642D"/>
    <w:rsid w:val="0036685B"/>
    <w:rsid w:val="00370A6D"/>
    <w:rsid w:val="0037587A"/>
    <w:rsid w:val="003758C3"/>
    <w:rsid w:val="00376773"/>
    <w:rsid w:val="00382EAE"/>
    <w:rsid w:val="0038316F"/>
    <w:rsid w:val="003838EF"/>
    <w:rsid w:val="003865FE"/>
    <w:rsid w:val="003A36EA"/>
    <w:rsid w:val="003A6A7A"/>
    <w:rsid w:val="003B0EFB"/>
    <w:rsid w:val="003B2AFE"/>
    <w:rsid w:val="003C0137"/>
    <w:rsid w:val="003D0C75"/>
    <w:rsid w:val="003D4160"/>
    <w:rsid w:val="003D6AEE"/>
    <w:rsid w:val="003E0BED"/>
    <w:rsid w:val="004129D0"/>
    <w:rsid w:val="004336E4"/>
    <w:rsid w:val="00434D19"/>
    <w:rsid w:val="004356FD"/>
    <w:rsid w:val="00437003"/>
    <w:rsid w:val="00437ABD"/>
    <w:rsid w:val="00440CA2"/>
    <w:rsid w:val="00474D85"/>
    <w:rsid w:val="00477BF1"/>
    <w:rsid w:val="00491155"/>
    <w:rsid w:val="004919E7"/>
    <w:rsid w:val="004A36EB"/>
    <w:rsid w:val="004C2A84"/>
    <w:rsid w:val="004C35A3"/>
    <w:rsid w:val="004E034F"/>
    <w:rsid w:val="004E3AD3"/>
    <w:rsid w:val="004E51F8"/>
    <w:rsid w:val="004E632A"/>
    <w:rsid w:val="00500AD1"/>
    <w:rsid w:val="00501EC2"/>
    <w:rsid w:val="00507880"/>
    <w:rsid w:val="0052518A"/>
    <w:rsid w:val="00540916"/>
    <w:rsid w:val="005453F9"/>
    <w:rsid w:val="005512DF"/>
    <w:rsid w:val="005577DE"/>
    <w:rsid w:val="0056037E"/>
    <w:rsid w:val="0056234D"/>
    <w:rsid w:val="00563DC3"/>
    <w:rsid w:val="00567DCB"/>
    <w:rsid w:val="00573D92"/>
    <w:rsid w:val="00574189"/>
    <w:rsid w:val="00583421"/>
    <w:rsid w:val="00585991"/>
    <w:rsid w:val="00585D93"/>
    <w:rsid w:val="00591488"/>
    <w:rsid w:val="00593AAC"/>
    <w:rsid w:val="00594F18"/>
    <w:rsid w:val="00597FC6"/>
    <w:rsid w:val="005A48D5"/>
    <w:rsid w:val="005A4BCA"/>
    <w:rsid w:val="005B1DEB"/>
    <w:rsid w:val="005B2022"/>
    <w:rsid w:val="005B3827"/>
    <w:rsid w:val="005C2198"/>
    <w:rsid w:val="005C7A1B"/>
    <w:rsid w:val="005F2A94"/>
    <w:rsid w:val="005F553D"/>
    <w:rsid w:val="00602863"/>
    <w:rsid w:val="00605E7C"/>
    <w:rsid w:val="00610CCE"/>
    <w:rsid w:val="00613196"/>
    <w:rsid w:val="006165FA"/>
    <w:rsid w:val="00625E2F"/>
    <w:rsid w:val="00631343"/>
    <w:rsid w:val="006325E2"/>
    <w:rsid w:val="006346DF"/>
    <w:rsid w:val="006352AD"/>
    <w:rsid w:val="00637B0A"/>
    <w:rsid w:val="00641590"/>
    <w:rsid w:val="006515D0"/>
    <w:rsid w:val="006573DE"/>
    <w:rsid w:val="00661979"/>
    <w:rsid w:val="00666DA5"/>
    <w:rsid w:val="00692250"/>
    <w:rsid w:val="006A30D8"/>
    <w:rsid w:val="006A60D6"/>
    <w:rsid w:val="006B03E8"/>
    <w:rsid w:val="006B1983"/>
    <w:rsid w:val="006B7EA7"/>
    <w:rsid w:val="006C0BF1"/>
    <w:rsid w:val="006C10D4"/>
    <w:rsid w:val="006C7117"/>
    <w:rsid w:val="006D0A9B"/>
    <w:rsid w:val="006D2230"/>
    <w:rsid w:val="006D2BF4"/>
    <w:rsid w:val="006D6079"/>
    <w:rsid w:val="006E0C73"/>
    <w:rsid w:val="006F1682"/>
    <w:rsid w:val="006F3450"/>
    <w:rsid w:val="006F555A"/>
    <w:rsid w:val="00700A1A"/>
    <w:rsid w:val="00702F00"/>
    <w:rsid w:val="00716AA1"/>
    <w:rsid w:val="0072004D"/>
    <w:rsid w:val="00723EEE"/>
    <w:rsid w:val="00727660"/>
    <w:rsid w:val="0073119B"/>
    <w:rsid w:val="007371A6"/>
    <w:rsid w:val="00743CC9"/>
    <w:rsid w:val="00764180"/>
    <w:rsid w:val="007641CE"/>
    <w:rsid w:val="00771285"/>
    <w:rsid w:val="0077675C"/>
    <w:rsid w:val="00777EDB"/>
    <w:rsid w:val="007825DE"/>
    <w:rsid w:val="0078337E"/>
    <w:rsid w:val="007A66FA"/>
    <w:rsid w:val="007B2314"/>
    <w:rsid w:val="007B2414"/>
    <w:rsid w:val="007C4EC0"/>
    <w:rsid w:val="007D2863"/>
    <w:rsid w:val="007F4838"/>
    <w:rsid w:val="008006C8"/>
    <w:rsid w:val="0080431A"/>
    <w:rsid w:val="00825595"/>
    <w:rsid w:val="00837472"/>
    <w:rsid w:val="00846650"/>
    <w:rsid w:val="00851391"/>
    <w:rsid w:val="00857774"/>
    <w:rsid w:val="00862FCC"/>
    <w:rsid w:val="0087547A"/>
    <w:rsid w:val="00875B83"/>
    <w:rsid w:val="00890570"/>
    <w:rsid w:val="00890A56"/>
    <w:rsid w:val="00892673"/>
    <w:rsid w:val="00895106"/>
    <w:rsid w:val="00895F53"/>
    <w:rsid w:val="00897A03"/>
    <w:rsid w:val="008B5014"/>
    <w:rsid w:val="008D09F7"/>
    <w:rsid w:val="008D7C5B"/>
    <w:rsid w:val="008E4779"/>
    <w:rsid w:val="008E4E26"/>
    <w:rsid w:val="008E7BBB"/>
    <w:rsid w:val="008E7F39"/>
    <w:rsid w:val="008F79E2"/>
    <w:rsid w:val="00910240"/>
    <w:rsid w:val="0091053A"/>
    <w:rsid w:val="00917637"/>
    <w:rsid w:val="009238F6"/>
    <w:rsid w:val="009327BD"/>
    <w:rsid w:val="00941B92"/>
    <w:rsid w:val="0098184D"/>
    <w:rsid w:val="00985B9A"/>
    <w:rsid w:val="009901B1"/>
    <w:rsid w:val="009930D1"/>
    <w:rsid w:val="00993125"/>
    <w:rsid w:val="009A6ED3"/>
    <w:rsid w:val="009B0B9F"/>
    <w:rsid w:val="009B3C8F"/>
    <w:rsid w:val="009B3D45"/>
    <w:rsid w:val="009B6A6B"/>
    <w:rsid w:val="009B70BE"/>
    <w:rsid w:val="009C3DBD"/>
    <w:rsid w:val="009C4812"/>
    <w:rsid w:val="009C780B"/>
    <w:rsid w:val="009E1054"/>
    <w:rsid w:val="009E265A"/>
    <w:rsid w:val="009E5B7B"/>
    <w:rsid w:val="009F5E52"/>
    <w:rsid w:val="009F7657"/>
    <w:rsid w:val="00A013A5"/>
    <w:rsid w:val="00A04EC5"/>
    <w:rsid w:val="00A261E5"/>
    <w:rsid w:val="00A36A56"/>
    <w:rsid w:val="00A41807"/>
    <w:rsid w:val="00A46C19"/>
    <w:rsid w:val="00A7013B"/>
    <w:rsid w:val="00A7162A"/>
    <w:rsid w:val="00A744F1"/>
    <w:rsid w:val="00A75B17"/>
    <w:rsid w:val="00A76693"/>
    <w:rsid w:val="00A81B56"/>
    <w:rsid w:val="00A87D55"/>
    <w:rsid w:val="00A91354"/>
    <w:rsid w:val="00A96CEF"/>
    <w:rsid w:val="00AB06A2"/>
    <w:rsid w:val="00AB16FD"/>
    <w:rsid w:val="00AB2642"/>
    <w:rsid w:val="00AB5134"/>
    <w:rsid w:val="00AC1538"/>
    <w:rsid w:val="00AC5FAC"/>
    <w:rsid w:val="00AD0273"/>
    <w:rsid w:val="00AE1DCB"/>
    <w:rsid w:val="00AE3185"/>
    <w:rsid w:val="00AE6F95"/>
    <w:rsid w:val="00AF16A6"/>
    <w:rsid w:val="00AF634B"/>
    <w:rsid w:val="00B01E28"/>
    <w:rsid w:val="00B040CE"/>
    <w:rsid w:val="00B0435D"/>
    <w:rsid w:val="00B04B2B"/>
    <w:rsid w:val="00B07471"/>
    <w:rsid w:val="00B12ED5"/>
    <w:rsid w:val="00B30B73"/>
    <w:rsid w:val="00B41B05"/>
    <w:rsid w:val="00B41B4B"/>
    <w:rsid w:val="00B4595E"/>
    <w:rsid w:val="00B54274"/>
    <w:rsid w:val="00B556BB"/>
    <w:rsid w:val="00B616E0"/>
    <w:rsid w:val="00B76B25"/>
    <w:rsid w:val="00B8279E"/>
    <w:rsid w:val="00B8646D"/>
    <w:rsid w:val="00B8742B"/>
    <w:rsid w:val="00B9314A"/>
    <w:rsid w:val="00B93BF9"/>
    <w:rsid w:val="00B94FE8"/>
    <w:rsid w:val="00B95DB3"/>
    <w:rsid w:val="00BA1687"/>
    <w:rsid w:val="00BB2B48"/>
    <w:rsid w:val="00BC0F76"/>
    <w:rsid w:val="00BC3D80"/>
    <w:rsid w:val="00BC63F5"/>
    <w:rsid w:val="00BD0D3A"/>
    <w:rsid w:val="00BD7B2E"/>
    <w:rsid w:val="00BE0B62"/>
    <w:rsid w:val="00BE49D4"/>
    <w:rsid w:val="00BE71C1"/>
    <w:rsid w:val="00BF69FD"/>
    <w:rsid w:val="00C028EB"/>
    <w:rsid w:val="00C04C5F"/>
    <w:rsid w:val="00C06FBF"/>
    <w:rsid w:val="00C1561B"/>
    <w:rsid w:val="00C23AC2"/>
    <w:rsid w:val="00C24513"/>
    <w:rsid w:val="00C24C03"/>
    <w:rsid w:val="00C314F4"/>
    <w:rsid w:val="00C31D0B"/>
    <w:rsid w:val="00C33666"/>
    <w:rsid w:val="00C47843"/>
    <w:rsid w:val="00C54B6A"/>
    <w:rsid w:val="00C5549A"/>
    <w:rsid w:val="00C57816"/>
    <w:rsid w:val="00C6205D"/>
    <w:rsid w:val="00C74842"/>
    <w:rsid w:val="00C83ECA"/>
    <w:rsid w:val="00C84B97"/>
    <w:rsid w:val="00C939B2"/>
    <w:rsid w:val="00C95D56"/>
    <w:rsid w:val="00C95FAF"/>
    <w:rsid w:val="00CA03AF"/>
    <w:rsid w:val="00CA57EC"/>
    <w:rsid w:val="00CA766F"/>
    <w:rsid w:val="00CA7D33"/>
    <w:rsid w:val="00CB53D2"/>
    <w:rsid w:val="00CB64DE"/>
    <w:rsid w:val="00CB74B3"/>
    <w:rsid w:val="00CC3ED3"/>
    <w:rsid w:val="00CC4DA7"/>
    <w:rsid w:val="00CC6499"/>
    <w:rsid w:val="00CD3F62"/>
    <w:rsid w:val="00CE03F7"/>
    <w:rsid w:val="00CE7C9A"/>
    <w:rsid w:val="00CE7DCD"/>
    <w:rsid w:val="00CF3082"/>
    <w:rsid w:val="00CF388E"/>
    <w:rsid w:val="00D028F1"/>
    <w:rsid w:val="00D033DD"/>
    <w:rsid w:val="00D1352F"/>
    <w:rsid w:val="00D13C32"/>
    <w:rsid w:val="00D1421C"/>
    <w:rsid w:val="00D2648D"/>
    <w:rsid w:val="00D34B4D"/>
    <w:rsid w:val="00D51808"/>
    <w:rsid w:val="00D5260F"/>
    <w:rsid w:val="00D552EB"/>
    <w:rsid w:val="00D71266"/>
    <w:rsid w:val="00D95E2A"/>
    <w:rsid w:val="00D974D5"/>
    <w:rsid w:val="00DA1129"/>
    <w:rsid w:val="00DB05AE"/>
    <w:rsid w:val="00DC6618"/>
    <w:rsid w:val="00DD0D26"/>
    <w:rsid w:val="00DE72B4"/>
    <w:rsid w:val="00E0526B"/>
    <w:rsid w:val="00E06E5C"/>
    <w:rsid w:val="00E07F1E"/>
    <w:rsid w:val="00E21B5B"/>
    <w:rsid w:val="00E22190"/>
    <w:rsid w:val="00E232FD"/>
    <w:rsid w:val="00E306AA"/>
    <w:rsid w:val="00E44017"/>
    <w:rsid w:val="00E53EF4"/>
    <w:rsid w:val="00E64E77"/>
    <w:rsid w:val="00E66C82"/>
    <w:rsid w:val="00E72613"/>
    <w:rsid w:val="00E80255"/>
    <w:rsid w:val="00E81324"/>
    <w:rsid w:val="00E94019"/>
    <w:rsid w:val="00EA7769"/>
    <w:rsid w:val="00EB0F42"/>
    <w:rsid w:val="00EB18FE"/>
    <w:rsid w:val="00EB4978"/>
    <w:rsid w:val="00ED4752"/>
    <w:rsid w:val="00EE19EA"/>
    <w:rsid w:val="00EE2945"/>
    <w:rsid w:val="00F150D3"/>
    <w:rsid w:val="00F20A68"/>
    <w:rsid w:val="00F341F7"/>
    <w:rsid w:val="00F34220"/>
    <w:rsid w:val="00F35694"/>
    <w:rsid w:val="00F55092"/>
    <w:rsid w:val="00F560A9"/>
    <w:rsid w:val="00F60C09"/>
    <w:rsid w:val="00F6213D"/>
    <w:rsid w:val="00F65869"/>
    <w:rsid w:val="00F747BB"/>
    <w:rsid w:val="00F95E4C"/>
    <w:rsid w:val="00F96DA1"/>
    <w:rsid w:val="00FB02DD"/>
    <w:rsid w:val="00FB4576"/>
    <w:rsid w:val="00FC3EDF"/>
    <w:rsid w:val="00FC5B87"/>
    <w:rsid w:val="00FC681A"/>
    <w:rsid w:val="00FE0217"/>
    <w:rsid w:val="00FE0E8F"/>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styleId="TtuloTDC">
    <w:name w:val="TOC Heading"/>
    <w:basedOn w:val="Ttulo1"/>
    <w:next w:val="Normal"/>
    <w:uiPriority w:val="39"/>
    <w:unhideWhenUsed/>
    <w:qFormat/>
    <w:rsid w:val="00EE19EA"/>
    <w:pPr>
      <w:spacing w:line="259" w:lineRule="auto"/>
      <w:outlineLvl w:val="9"/>
    </w:pPr>
    <w:rPr>
      <w:lang w:eastAsia="es-MX"/>
    </w:rPr>
  </w:style>
  <w:style w:type="paragraph" w:styleId="TDC2">
    <w:name w:val="toc 2"/>
    <w:basedOn w:val="Normal"/>
    <w:next w:val="Normal"/>
    <w:autoRedefine/>
    <w:uiPriority w:val="39"/>
    <w:unhideWhenUsed/>
    <w:rsid w:val="00C57816"/>
    <w:pPr>
      <w:spacing w:after="100" w:line="259" w:lineRule="auto"/>
      <w:ind w:left="220"/>
    </w:pPr>
    <w:rPr>
      <w:rFonts w:cs="Times New Roman"/>
      <w:sz w:val="22"/>
      <w:szCs w:val="22"/>
      <w:lang w:eastAsia="es-MX"/>
    </w:rPr>
  </w:style>
  <w:style w:type="paragraph" w:styleId="TDC1">
    <w:name w:val="toc 1"/>
    <w:basedOn w:val="Normal"/>
    <w:next w:val="Normal"/>
    <w:autoRedefine/>
    <w:uiPriority w:val="39"/>
    <w:unhideWhenUsed/>
    <w:rsid w:val="00C57816"/>
    <w:pPr>
      <w:spacing w:after="100" w:line="259" w:lineRule="auto"/>
    </w:pPr>
    <w:rPr>
      <w:rFonts w:cs="Times New Roman"/>
      <w:sz w:val="22"/>
      <w:szCs w:val="22"/>
      <w:lang w:eastAsia="es-MX"/>
    </w:rPr>
  </w:style>
  <w:style w:type="paragraph" w:styleId="TDC3">
    <w:name w:val="toc 3"/>
    <w:basedOn w:val="Normal"/>
    <w:next w:val="Normal"/>
    <w:autoRedefine/>
    <w:uiPriority w:val="39"/>
    <w:unhideWhenUsed/>
    <w:rsid w:val="00C57816"/>
    <w:pPr>
      <w:spacing w:after="100" w:line="259" w:lineRule="auto"/>
      <w:ind w:left="440"/>
    </w:pPr>
    <w:rPr>
      <w:rFonts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ter.ift.org.mx/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3AA2-98D9-4A9B-8927-30AD4B5B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4</cp:revision>
  <cp:lastPrinted>2019-10-15T21:03:00Z</cp:lastPrinted>
  <dcterms:created xsi:type="dcterms:W3CDTF">2019-10-15T21:03:00Z</dcterms:created>
  <dcterms:modified xsi:type="dcterms:W3CDTF">2019-10-18T19:32:00Z</dcterms:modified>
</cp:coreProperties>
</file>